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6343F6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C82890" w:rsidRPr="00A26CF4" w:rsidRDefault="00C82890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C82890" w:rsidRDefault="00C82890" w:rsidP="00C82890">
      <w:pPr>
        <w:pStyle w:val="af"/>
        <w:shd w:val="clear" w:color="auto" w:fill="FFFFFF"/>
        <w:spacing w:before="0" w:beforeAutospacing="0"/>
        <w:rPr>
          <w:rFonts w:ascii="Arial" w:hAnsi="Arial" w:cs="Arial"/>
          <w:color w:val="3B3B3B"/>
        </w:rPr>
      </w:pPr>
      <w:bookmarkStart w:id="0" w:name="_GoBack"/>
      <w:r>
        <w:rPr>
          <w:rFonts w:ascii="Arial" w:hAnsi="Arial" w:cs="Arial"/>
          <w:b/>
          <w:bCs/>
          <w:color w:val="3B3B3B"/>
        </w:rPr>
        <w:t>6-3-34 «ПРАКТИЧЕСКИЕ АСПЕКТЫ АУДИТА В УСЛОВИЯХ УГРОЗЫ РАСПРОСТРАНЕНИЯ НОВОЙ КОРОНАВИРУСНОЙ ИНФЕКЦИИ И ЕЕ ЗАВЕРШЕНИЯ»</w:t>
      </w:r>
    </w:p>
    <w:bookmarkEnd w:id="0"/>
    <w:p w:rsidR="00C82890" w:rsidRDefault="00C82890" w:rsidP="00C82890">
      <w:pPr>
        <w:pStyle w:val="af"/>
        <w:shd w:val="clear" w:color="auto" w:fill="FFFFFF"/>
        <w:spacing w:before="0" w:beforeAutospacing="0"/>
        <w:rPr>
          <w:rFonts w:ascii="Arial" w:hAnsi="Arial" w:cs="Arial"/>
          <w:color w:val="3B3B3B"/>
        </w:rPr>
      </w:pPr>
      <w:r>
        <w:rPr>
          <w:rFonts w:ascii="Arial" w:hAnsi="Arial" w:cs="Arial"/>
          <w:b/>
          <w:bCs/>
          <w:color w:val="3B3B3B"/>
        </w:rPr>
        <w:t>Продолжительность обучения – 4 академических часов</w:t>
      </w:r>
    </w:p>
    <w:p w:rsidR="00C82890" w:rsidRDefault="00C82890" w:rsidP="00C82890">
      <w:pPr>
        <w:pStyle w:val="af"/>
        <w:shd w:val="clear" w:color="auto" w:fill="FFFFFF"/>
        <w:spacing w:before="0" w:beforeAutospacing="0"/>
        <w:rPr>
          <w:rFonts w:ascii="Arial" w:hAnsi="Arial" w:cs="Arial"/>
          <w:color w:val="3B3B3B"/>
        </w:rPr>
      </w:pPr>
      <w:r>
        <w:rPr>
          <w:rFonts w:ascii="Arial" w:hAnsi="Arial" w:cs="Arial"/>
          <w:b/>
          <w:bCs/>
          <w:color w:val="3B3B3B"/>
        </w:rPr>
        <w:t>Цель программы </w:t>
      </w:r>
      <w:r>
        <w:rPr>
          <w:rFonts w:ascii="Arial" w:hAnsi="Arial" w:cs="Arial"/>
          <w:color w:val="3B3B3B"/>
        </w:rPr>
        <w:t>– практические рекомендации по организации и проведению аудита в условиях сложной эпидемиологической обстановки, а также по проверке отражения в учете аудируемых лиц соответствующих особенностей.</w:t>
      </w:r>
    </w:p>
    <w:p w:rsidR="00C82890" w:rsidRDefault="00C82890" w:rsidP="00C82890">
      <w:pPr>
        <w:pStyle w:val="af"/>
        <w:shd w:val="clear" w:color="auto" w:fill="FFFFFF"/>
        <w:spacing w:before="0" w:beforeAutospacing="0"/>
        <w:rPr>
          <w:rFonts w:ascii="Arial" w:hAnsi="Arial" w:cs="Arial"/>
          <w:color w:val="3B3B3B"/>
        </w:rPr>
      </w:pPr>
      <w:r>
        <w:rPr>
          <w:rFonts w:ascii="Arial" w:hAnsi="Arial" w:cs="Arial"/>
          <w:b/>
          <w:bCs/>
          <w:color w:val="3B3B3B"/>
        </w:rPr>
        <w:t>Тема 1. Специфика организации аудиторской деятельности в условиях угрозы распространения новой коронавирусной инфекции.</w:t>
      </w:r>
    </w:p>
    <w:p w:rsidR="00C82890" w:rsidRDefault="00C82890" w:rsidP="00C82890">
      <w:pPr>
        <w:pStyle w:val="af"/>
        <w:shd w:val="clear" w:color="auto" w:fill="FFFFFF"/>
        <w:spacing w:before="0" w:beforeAutospacing="0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Нормативное регулирование. Процедуры принятия клиента, планирования аудита и оценки рисков существенных искажений. Сбор аудиторских доказательств в условиях пандемии. Завершение аудита и формирование мнение о достоверности финансовой отчетности. Особенности утверждения бухгалтерской (финансовой) отчетности общими собраниями участников корпораций в 2020 году: порядок и сроки.</w:t>
      </w:r>
    </w:p>
    <w:p w:rsidR="00C82890" w:rsidRDefault="00C82890" w:rsidP="00C82890">
      <w:pPr>
        <w:pStyle w:val="af"/>
        <w:shd w:val="clear" w:color="auto" w:fill="FFFFFF"/>
        <w:spacing w:before="0" w:beforeAutospacing="0"/>
        <w:rPr>
          <w:rFonts w:ascii="Arial" w:hAnsi="Arial" w:cs="Arial"/>
          <w:color w:val="3B3B3B"/>
        </w:rPr>
      </w:pPr>
      <w:r>
        <w:rPr>
          <w:rFonts w:ascii="Arial" w:hAnsi="Arial" w:cs="Arial"/>
          <w:b/>
          <w:bCs/>
          <w:color w:val="3B3B3B"/>
        </w:rPr>
        <w:t>Тема 2. Особенности проведения отдельных аудиторских процедур в условиях последствий угрозы распространения новой коронавирусной инфекции.</w:t>
      </w:r>
    </w:p>
    <w:p w:rsidR="00C82890" w:rsidRDefault="00C82890" w:rsidP="00C82890">
      <w:pPr>
        <w:pStyle w:val="af"/>
        <w:shd w:val="clear" w:color="auto" w:fill="FFFFFF"/>
        <w:spacing w:before="0" w:beforeAutospacing="0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События после отчетной даты и оценка непрерывности деятельности аудируемых лиц в условиях последствий пандемии.</w:t>
      </w:r>
      <w:r>
        <w:rPr>
          <w:rFonts w:ascii="Arial" w:hAnsi="Arial" w:cs="Arial"/>
          <w:color w:val="3B3B3B"/>
        </w:rPr>
        <w:br/>
        <w:t>Проверка отражения в учете мер эконмической поддержки особо пострадавших отраслей и субъектов малого и среднего предпринимательства.</w:t>
      </w:r>
      <w:r>
        <w:rPr>
          <w:rFonts w:ascii="Arial" w:hAnsi="Arial" w:cs="Arial"/>
          <w:color w:val="3B3B3B"/>
        </w:rPr>
        <w:br/>
        <w:t>Специфика проверки соблюдения нормативных актов, в том числе корпоративного и трудового законодательства.</w:t>
      </w:r>
    </w:p>
    <w:p w:rsidR="00923DE5" w:rsidRPr="009250C5" w:rsidRDefault="00923DE5" w:rsidP="009250C5">
      <w:pPr>
        <w:jc w:val="both"/>
        <w:rPr>
          <w:rFonts w:ascii="Arial" w:hAnsi="Arial" w:cs="Arial"/>
          <w:sz w:val="24"/>
          <w:szCs w:val="24"/>
        </w:rPr>
      </w:pPr>
    </w:p>
    <w:sectPr w:rsidR="00923DE5" w:rsidRPr="009250C5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77" w:rsidRDefault="00E54977" w:rsidP="00747EA7">
      <w:r>
        <w:separator/>
      </w:r>
    </w:p>
  </w:endnote>
  <w:endnote w:type="continuationSeparator" w:id="0">
    <w:p w:rsidR="00E54977" w:rsidRDefault="00E54977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E54977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77" w:rsidRDefault="00E54977" w:rsidP="00747EA7">
      <w:r>
        <w:separator/>
      </w:r>
    </w:p>
  </w:footnote>
  <w:footnote w:type="continuationSeparator" w:id="0">
    <w:p w:rsidR="00E54977" w:rsidRDefault="00E54977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92C63"/>
    <w:rsid w:val="000C1642"/>
    <w:rsid w:val="000E2A16"/>
    <w:rsid w:val="000F0BB0"/>
    <w:rsid w:val="000F3B2B"/>
    <w:rsid w:val="001324CD"/>
    <w:rsid w:val="001424D3"/>
    <w:rsid w:val="001428C5"/>
    <w:rsid w:val="00196BAD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53A8E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5186"/>
    <w:rsid w:val="005053D1"/>
    <w:rsid w:val="00525762"/>
    <w:rsid w:val="005323AE"/>
    <w:rsid w:val="005530A7"/>
    <w:rsid w:val="00566EDB"/>
    <w:rsid w:val="00572534"/>
    <w:rsid w:val="005942EF"/>
    <w:rsid w:val="005A4754"/>
    <w:rsid w:val="005D0843"/>
    <w:rsid w:val="005D5A99"/>
    <w:rsid w:val="005F71E5"/>
    <w:rsid w:val="006011B8"/>
    <w:rsid w:val="006024B7"/>
    <w:rsid w:val="00610F29"/>
    <w:rsid w:val="006343F6"/>
    <w:rsid w:val="00640B79"/>
    <w:rsid w:val="00684BD9"/>
    <w:rsid w:val="00697E57"/>
    <w:rsid w:val="006A09A9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9F696F"/>
    <w:rsid w:val="00A45DE4"/>
    <w:rsid w:val="00AB2729"/>
    <w:rsid w:val="00AC0D19"/>
    <w:rsid w:val="00B338DA"/>
    <w:rsid w:val="00B43227"/>
    <w:rsid w:val="00B8350C"/>
    <w:rsid w:val="00BB60E4"/>
    <w:rsid w:val="00C1407D"/>
    <w:rsid w:val="00C4301C"/>
    <w:rsid w:val="00C46640"/>
    <w:rsid w:val="00C82890"/>
    <w:rsid w:val="00CB5CAD"/>
    <w:rsid w:val="00D00A86"/>
    <w:rsid w:val="00D017BB"/>
    <w:rsid w:val="00D45478"/>
    <w:rsid w:val="00D50427"/>
    <w:rsid w:val="00D53C97"/>
    <w:rsid w:val="00D53F5B"/>
    <w:rsid w:val="00DE74BD"/>
    <w:rsid w:val="00DF25B6"/>
    <w:rsid w:val="00E0037F"/>
    <w:rsid w:val="00E03963"/>
    <w:rsid w:val="00E26385"/>
    <w:rsid w:val="00E36BDA"/>
    <w:rsid w:val="00E41222"/>
    <w:rsid w:val="00E43911"/>
    <w:rsid w:val="00E54977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56D7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203C3F"/>
    <w:rsid w:val="002703BA"/>
    <w:rsid w:val="005452D2"/>
    <w:rsid w:val="00805CD7"/>
    <w:rsid w:val="00812F8F"/>
    <w:rsid w:val="009815F4"/>
    <w:rsid w:val="00BA3046"/>
    <w:rsid w:val="00F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DEC6-BF81-48A9-BA08-3BF30436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 ОДПО "УМЦ КА", тел. (495) 128-44-15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2</cp:revision>
  <cp:lastPrinted>2020-09-03T08:49:00Z</cp:lastPrinted>
  <dcterms:created xsi:type="dcterms:W3CDTF">2021-06-02T11:29:00Z</dcterms:created>
  <dcterms:modified xsi:type="dcterms:W3CDTF">2021-06-02T11:29:00Z</dcterms:modified>
</cp:coreProperties>
</file>