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D43A2A" w:rsidRDefault="00D43A2A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6F5F40" w:rsidRDefault="006F5F40" w:rsidP="006F5F40">
      <w:pPr>
        <w:pStyle w:val="af"/>
        <w:spacing w:before="0" w:beforeAutospacing="0"/>
      </w:pPr>
      <w:bookmarkStart w:id="0" w:name="_GoBack"/>
      <w:r>
        <w:rPr>
          <w:b/>
          <w:bCs/>
        </w:rPr>
        <w:t>6-2-14 «МСФО: ОТЛОЖЕННЫЙ НАЛОГ НА ПРИБЫЛЬ»</w:t>
      </w:r>
    </w:p>
    <w:bookmarkEnd w:id="0"/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t>Продолжительность обучения</w:t>
      </w:r>
      <w:r>
        <w:t> - 20 академических часов.</w:t>
      </w:r>
    </w:p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t>Тема 1. Задачи и основные концепции отложенного налога на прибыль.</w:t>
      </w:r>
    </w:p>
    <w:p w:rsidR="006F5F40" w:rsidRDefault="006F5F40" w:rsidP="006F5F40">
      <w:pPr>
        <w:pStyle w:val="af"/>
        <w:spacing w:before="0" w:beforeAutospacing="0"/>
      </w:pPr>
      <w:r>
        <w:t>Связь отложенного налога и принципа начисления. Функция отложенного налога при возникновении и погашении простой облагаемой разницы. Взаимосвязь отложенного и текущего налогов и их эффект на чистую прибыль компании разных периодов.</w:t>
      </w:r>
    </w:p>
    <w:p w:rsidR="006F5F40" w:rsidRDefault="006F5F40" w:rsidP="006F5F40">
      <w:pPr>
        <w:pStyle w:val="af"/>
        <w:spacing w:before="0" w:beforeAutospacing="0"/>
      </w:pPr>
      <w:r>
        <w:t>Методы расчета и признания отложенного налога – метод отсрочки, метод обязательств по балансу и по отчету о финансовых результатах.</w:t>
      </w:r>
    </w:p>
    <w:p w:rsidR="006F5F40" w:rsidRDefault="006F5F40" w:rsidP="006F5F40">
      <w:pPr>
        <w:pStyle w:val="af"/>
        <w:spacing w:before="0" w:beforeAutospacing="0"/>
      </w:pPr>
      <w:r>
        <w:t>Развитие концепции отложенного налога в МСФО и российском учете.</w:t>
      </w:r>
    </w:p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t>Тема 2. Определение налоговых баз активов и обязательств.</w:t>
      </w:r>
    </w:p>
    <w:p w:rsidR="006F5F40" w:rsidRDefault="006F5F40" w:rsidP="006F5F40">
      <w:pPr>
        <w:pStyle w:val="af"/>
        <w:spacing w:before="0" w:beforeAutospacing="0"/>
      </w:pPr>
      <w:r>
        <w:t>Метод IAS 12 «Налоги на прибыль» – расчет налоговых баз по формулам, исходя из балансовой стоимости соответствующих активов и обязательств. Примеры и упражнения.</w:t>
      </w:r>
    </w:p>
    <w:p w:rsidR="006F5F40" w:rsidRDefault="006F5F40" w:rsidP="006F5F40">
      <w:pPr>
        <w:pStyle w:val="af"/>
        <w:spacing w:before="0" w:beforeAutospacing="0"/>
      </w:pPr>
      <w:r>
        <w:t>Временные и постоянные разницы. Типичные источники разниц. Подход IAS 12 и альтернативный подход к постоянным разницам. Расчет сальдо отложенного налога по формулам IAS 12 и при признании наличия постоянных разниц.</w:t>
      </w:r>
    </w:p>
    <w:p w:rsidR="006F5F40" w:rsidRDefault="006F5F40" w:rsidP="006F5F40">
      <w:pPr>
        <w:pStyle w:val="af"/>
        <w:spacing w:before="0" w:beforeAutospacing="0"/>
      </w:pPr>
      <w:r>
        <w:t>«Полный» (постоянные и временные разницы) и «строгий» (только временные разницы) налоговые балансы, преимущества и недостатки обоих подходов.</w:t>
      </w:r>
    </w:p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t>Тема 3. Риски балансового метода и метода прибыли и убытков – IAS 12 и ПБУ 18/02.</w:t>
      </w:r>
    </w:p>
    <w:p w:rsidR="006F5F40" w:rsidRDefault="006F5F40" w:rsidP="006F5F40">
      <w:pPr>
        <w:pStyle w:val="af"/>
        <w:spacing w:before="0" w:beforeAutospacing="0"/>
      </w:pPr>
      <w:r>
        <w:t>Нулевое сальдо в отчете о финансовом положении при наличии налоговой базы – примеры, включая перенесенные налоговые убытки прошлых лет.</w:t>
      </w:r>
    </w:p>
    <w:p w:rsidR="006F5F40" w:rsidRDefault="006F5F40" w:rsidP="006F5F40">
      <w:pPr>
        <w:pStyle w:val="af"/>
        <w:spacing w:before="0" w:beforeAutospacing="0"/>
      </w:pPr>
      <w:r>
        <w:t>Отложенный налог в капитале. Формирование и погашение отложенного налога через прочий совокупный доход и напрямую в компонентах капитала.</w:t>
      </w:r>
    </w:p>
    <w:p w:rsidR="006F5F40" w:rsidRDefault="006F5F40" w:rsidP="006F5F40">
      <w:pPr>
        <w:pStyle w:val="af"/>
        <w:spacing w:before="0" w:beforeAutospacing="0"/>
      </w:pPr>
      <w:r>
        <w:t>Отличия IAS 12 и ПБУ 18/02 на примере расчета и сверки отложенного налога за два года и формирования «полного» налогового баланса.</w:t>
      </w:r>
    </w:p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lastRenderedPageBreak/>
        <w:t>Тема 4. Отдельные сложные вопросы признания и оценки отложенного налога. Представление отложенных налогов в финансовой отчетности.</w:t>
      </w:r>
    </w:p>
    <w:p w:rsidR="006F5F40" w:rsidRDefault="006F5F40" w:rsidP="006F5F40">
      <w:pPr>
        <w:pStyle w:val="af"/>
        <w:spacing w:before="0" w:beforeAutospacing="0"/>
      </w:pPr>
      <w:r>
        <w:t>Признание отложенных налоговых активов – ограничения, особенности признания ОНА от налоговых убытков, налоговые стратегии. Упражнения и иллюстрации.</w:t>
      </w:r>
    </w:p>
    <w:p w:rsidR="006F5F40" w:rsidRDefault="006F5F40" w:rsidP="006F5F40">
      <w:pPr>
        <w:pStyle w:val="af"/>
        <w:spacing w:before="0" w:beforeAutospacing="0"/>
      </w:pPr>
      <w:r>
        <w:t>Оценка отложенного налога в ситуации изменения налогового статуса (ставки налога на прибыль). Эффект изменения ставки налога в капитале компании.</w:t>
      </w:r>
    </w:p>
    <w:p w:rsidR="006F5F40" w:rsidRDefault="006F5F40" w:rsidP="006F5F40">
      <w:pPr>
        <w:pStyle w:val="af"/>
        <w:spacing w:before="0" w:beforeAutospacing="0"/>
      </w:pPr>
      <w:r>
        <w:t>Неопределенные налоговые позиции (ННП) в ГААП США (FASB FIN 48 2007). Рассмотрение примеров ННП, формирование соответствующих резервов.</w:t>
      </w:r>
    </w:p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t>Тема 5. Отложенный налог при трансформации российской отчетности в МСФО и сальдо по ПБУ 18/02.</w:t>
      </w:r>
    </w:p>
    <w:p w:rsidR="006F5F40" w:rsidRDefault="006F5F40" w:rsidP="006F5F40">
      <w:pPr>
        <w:pStyle w:val="af"/>
        <w:spacing w:before="0" w:beforeAutospacing="0"/>
      </w:pPr>
      <w:r>
        <w:t>Три «базы» для расчета отложенного налога – налоговая база, российская отчетность и отчетность по МСФО. Два метода расчета отложенного налога для целей IAS 12. Необходимость наличия «налогового баланса». Иллюстрации и примеры.</w:t>
      </w:r>
    </w:p>
    <w:p w:rsidR="006F5F40" w:rsidRDefault="006F5F40" w:rsidP="006F5F40">
      <w:pPr>
        <w:pStyle w:val="af"/>
        <w:spacing w:before="0" w:beforeAutospacing="0"/>
      </w:pPr>
      <w:r>
        <w:t>Преимущества и недостатки обоих подходов к сальдо по ПБУ 18/02 при составлении отчетности по МСФО путем трансформации. Распределение зон ответственности при координации расчетов для ПБУ 18/02 и IAS 12.</w:t>
      </w:r>
    </w:p>
    <w:p w:rsidR="006F5F40" w:rsidRDefault="006F5F40" w:rsidP="006F5F40">
      <w:pPr>
        <w:pStyle w:val="af"/>
        <w:spacing w:before="0" w:beforeAutospacing="0"/>
      </w:pPr>
      <w:r>
        <w:rPr>
          <w:b/>
          <w:bCs/>
        </w:rPr>
        <w:t>Тема 6. Сквозной пример расчета отложенного налога по IAS 12 за два года при трансформации из российской отчетности.</w:t>
      </w:r>
    </w:p>
    <w:p w:rsidR="006F5F40" w:rsidRDefault="006F5F40" w:rsidP="006F5F40">
      <w:pPr>
        <w:pStyle w:val="af"/>
        <w:spacing w:before="0" w:beforeAutospacing="0"/>
      </w:pPr>
      <w:r>
        <w:t>Расчет российского отложенного налога за первый год двумя методами – по отклонениям в доходах и расходах и по балансу. Оценка влияния на чистую прибыль.</w:t>
      </w:r>
    </w:p>
    <w:p w:rsidR="006F5F40" w:rsidRDefault="006F5F40" w:rsidP="006F5F40">
      <w:pPr>
        <w:pStyle w:val="af"/>
        <w:spacing w:before="0" w:beforeAutospacing="0"/>
      </w:pPr>
      <w:r>
        <w:t>Расчет отложенного налога по российским стандартам за второй год на основе формы бухгалтерской отчетности «Отчет о финансовых результатах». Формирование «полного» налогового баланса, преобразование в «строгий» налоговый баланс. Трансформация в МСФО с формированием отчета о совокупном доходе. Классификация на временные и постоянные разницы. Выполнение сложных поправок.</w:t>
      </w:r>
    </w:p>
    <w:p w:rsidR="006F5F40" w:rsidRDefault="006F5F40" w:rsidP="006F5F40">
      <w:pPr>
        <w:pStyle w:val="af"/>
        <w:spacing w:before="0" w:beforeAutospacing="0"/>
      </w:pPr>
      <w:r>
        <w:t>Расчет отложенного налога для IAS 12 – использование при расчете сальдо по ПБУ 18/02.</w:t>
      </w:r>
    </w:p>
    <w:p w:rsidR="006F5F40" w:rsidRDefault="006F5F40" w:rsidP="006F5F40">
      <w:pPr>
        <w:pStyle w:val="af"/>
        <w:spacing w:before="0" w:beforeAutospacing="0"/>
      </w:pPr>
      <w:r>
        <w:t>Сверка отложенного налога различными способами.</w:t>
      </w:r>
    </w:p>
    <w:p w:rsidR="00C82890" w:rsidRPr="00A26CF4" w:rsidRDefault="00C82890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sectPr w:rsidR="00C82890" w:rsidRPr="00A26CF4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3E6" w:rsidRDefault="00F543E6" w:rsidP="00747EA7">
      <w:r>
        <w:separator/>
      </w:r>
    </w:p>
  </w:endnote>
  <w:endnote w:type="continuationSeparator" w:id="0">
    <w:p w:rsidR="00F543E6" w:rsidRDefault="00F543E6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F543E6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3E6" w:rsidRDefault="00F543E6" w:rsidP="00747EA7">
      <w:r>
        <w:separator/>
      </w:r>
    </w:p>
  </w:footnote>
  <w:footnote w:type="continuationSeparator" w:id="0">
    <w:p w:rsidR="00F543E6" w:rsidRDefault="00F543E6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C1642"/>
    <w:rsid w:val="000E2A16"/>
    <w:rsid w:val="000F0BB0"/>
    <w:rsid w:val="000F3B2B"/>
    <w:rsid w:val="001324CD"/>
    <w:rsid w:val="001424D3"/>
    <w:rsid w:val="001428C5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53A8E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25762"/>
    <w:rsid w:val="005323AE"/>
    <w:rsid w:val="005530A7"/>
    <w:rsid w:val="00566EDB"/>
    <w:rsid w:val="00572534"/>
    <w:rsid w:val="005942EF"/>
    <w:rsid w:val="005A4754"/>
    <w:rsid w:val="005D0843"/>
    <w:rsid w:val="005D5A99"/>
    <w:rsid w:val="005F71E5"/>
    <w:rsid w:val="006011B8"/>
    <w:rsid w:val="006024B7"/>
    <w:rsid w:val="00610F29"/>
    <w:rsid w:val="006343F6"/>
    <w:rsid w:val="00640B79"/>
    <w:rsid w:val="00653693"/>
    <w:rsid w:val="00684BD9"/>
    <w:rsid w:val="00697E57"/>
    <w:rsid w:val="006A09A9"/>
    <w:rsid w:val="006F5F40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9F696F"/>
    <w:rsid w:val="00A45DE4"/>
    <w:rsid w:val="00AB2729"/>
    <w:rsid w:val="00AC0D19"/>
    <w:rsid w:val="00B338DA"/>
    <w:rsid w:val="00B43227"/>
    <w:rsid w:val="00B8350C"/>
    <w:rsid w:val="00BB60E4"/>
    <w:rsid w:val="00C1407D"/>
    <w:rsid w:val="00C4301C"/>
    <w:rsid w:val="00C46640"/>
    <w:rsid w:val="00C82890"/>
    <w:rsid w:val="00CB5CAD"/>
    <w:rsid w:val="00D00A86"/>
    <w:rsid w:val="00D017BB"/>
    <w:rsid w:val="00D43A2A"/>
    <w:rsid w:val="00D45478"/>
    <w:rsid w:val="00D50427"/>
    <w:rsid w:val="00D53C97"/>
    <w:rsid w:val="00D53F5B"/>
    <w:rsid w:val="00DE74BD"/>
    <w:rsid w:val="00DF25B6"/>
    <w:rsid w:val="00E0037F"/>
    <w:rsid w:val="00E03963"/>
    <w:rsid w:val="00E26385"/>
    <w:rsid w:val="00E36BDA"/>
    <w:rsid w:val="00E41222"/>
    <w:rsid w:val="00E43911"/>
    <w:rsid w:val="00E85E05"/>
    <w:rsid w:val="00F00F40"/>
    <w:rsid w:val="00F1219F"/>
    <w:rsid w:val="00F23E9F"/>
    <w:rsid w:val="00F46AA4"/>
    <w:rsid w:val="00F543E6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56D7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542615"/>
    <w:rsid w:val="005452D2"/>
    <w:rsid w:val="00812F8F"/>
    <w:rsid w:val="009815F4"/>
    <w:rsid w:val="00BA3046"/>
    <w:rsid w:val="00F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D212-5521-4D19-8F65-7AEED14D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 ОДПО "УМЦ КА", тел. (495) 128-44-15</vt:lpstr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2</cp:revision>
  <cp:lastPrinted>2020-09-03T08:49:00Z</cp:lastPrinted>
  <dcterms:created xsi:type="dcterms:W3CDTF">2021-06-02T11:32:00Z</dcterms:created>
  <dcterms:modified xsi:type="dcterms:W3CDTF">2021-06-02T11:32:00Z</dcterms:modified>
</cp:coreProperties>
</file>