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Pr="00A26CF4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923DE5" w:rsidRPr="009250C5" w:rsidRDefault="00923DE5" w:rsidP="009250C5">
      <w:pPr>
        <w:jc w:val="both"/>
        <w:rPr>
          <w:rFonts w:ascii="Arial" w:hAnsi="Arial" w:cs="Arial"/>
          <w:sz w:val="24"/>
          <w:szCs w:val="24"/>
        </w:rPr>
      </w:pPr>
    </w:p>
    <w:p w:rsidR="00E26385" w:rsidRPr="00E26385" w:rsidRDefault="00E26385" w:rsidP="00C618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6-2-26/1 «ПРАКТИКА ПРИМЕНЕНИЯ МСА: ПРОВЕРКА СОБЛЮДЕНИЯ ТРЕБОВАНИЙ НОРМАТИВНЫХ ПРАВОВЫХ АКТОВ»</w:t>
      </w:r>
    </w:p>
    <w:p w:rsidR="00E26385" w:rsidRPr="00E26385" w:rsidRDefault="00E26385" w:rsidP="00E26385">
      <w:pPr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E26385">
        <w:rPr>
          <w:rFonts w:ascii="Arial" w:hAnsi="Arial" w:cs="Arial"/>
          <w:b/>
          <w:bCs/>
          <w:sz w:val="24"/>
          <w:szCs w:val="24"/>
        </w:rPr>
        <w:t>Продолжительность занятий – 8 академических часов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Цель программы: совершенствование навыков проверки соблюдения требований нормативных правовых актов аудируемыми лицами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1. Общие вопросы: определение сферы применения МСА 250 «Рассмотрение законов и нормативных актов в ходе аудита финансовой отчетности», примеры различий влияние законов и нормативных актов на финансовую отчетность.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2. Ответственность за соблюдение законов и нормативных актов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а) Лица, обеспечивающие ведение деятельности организации в соответствии с законами и нормативными актами, передача полномочий службам и подразделениям; примеры видов политики и процедур, которые организация может внедрить для содействия предупреждению и обнаружению несоблюдения законов и нормативных актов.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б) Ответственность аудитора, причины возможного влияния неотъемлемых ограничений аудита на способность аудитора обнаруживать существенные искажения в контексте законов и нормативных актов.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Две категории законов и нормативных актов относительно обязанностей аудитора по их соблюдению; дополнительные обязанности аудитора в связи с несоблюдением организацией законов и нормативных актов, которые могут отличаться от обязанностей, предусмотренных МСА 250 или выходить за пределы сферы его применения.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3. Рассмотрение аудитором соблюдения законов и нормативных актов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Понимание законодательной базы, применимой к организации и к отрасли или сектору экономики, в которых организация ведет деятельность и того, каким образом организация соблюдает требования этого законодательства.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 xml:space="preserve">Получение надлежащих аудиторских доказательств: аудиторские процедуры, направленные на выявление случаев несоблюдения прочих законов и </w:t>
      </w:r>
      <w:r w:rsidRPr="00E26385">
        <w:rPr>
          <w:rFonts w:ascii="Arial" w:hAnsi="Arial" w:cs="Arial"/>
          <w:b/>
          <w:bCs/>
          <w:sz w:val="24"/>
          <w:szCs w:val="24"/>
        </w:rPr>
        <w:lastRenderedPageBreak/>
        <w:t>нормативных актов, которые могут оказать существенное влияние на финансовую отчетность.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4. Предоставление информации и сообщение о выявленном несоблюдении или подозрении в несоблюдении законов и нормативных актов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Порядок предоставления информации: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- руководству и лицам, отвечающим за корпоративное управление;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- в соответствующий уполномоченный орган, сторонний по отношению к организации.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Особенности организаций государственного сектора.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5. Влияние выявленного или предполагаемого несоблюдения законов и нормативных актов на аудиторское заключение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Возможные виды аудиторских заключений в различных обстоятельствах, связанных с несоблюдением законов и нормативных актов.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Иные возможные последствия выявленного несоблюдения или подозрения в несоблюдении для аудиторского заключения («ключевой вопрос аудита», раздел «Прочие сведения»)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Тема 6. Аудиторская документация в отношении выявленного или предполагаемого несоблюдения законов и нормативных актов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Порядок оформления аудиторской документации. Пример заполнения рабочего документа на основе конкретного кейса.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Результат обучения</w:t>
      </w: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26385" w:rsidRPr="00E26385" w:rsidRDefault="00E26385" w:rsidP="00C618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26385">
        <w:rPr>
          <w:rFonts w:ascii="Arial" w:hAnsi="Arial" w:cs="Arial"/>
          <w:b/>
          <w:bCs/>
          <w:sz w:val="24"/>
          <w:szCs w:val="24"/>
        </w:rPr>
        <w:t>Глубокое и детальное понимание норм МСА 250 «Рассмотрение законов и нормативных актов в ходе аудита финансовой отчетности», его применения при осуществлении аудита аудиторскими организациями (аудиторами).</w:t>
      </w:r>
    </w:p>
    <w:bookmarkEnd w:id="0"/>
    <w:p w:rsidR="009E22CE" w:rsidRDefault="009E22CE" w:rsidP="00C618F7">
      <w:pPr>
        <w:jc w:val="both"/>
      </w:pPr>
    </w:p>
    <w:sectPr w:rsidR="009E22CE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17" w:rsidRDefault="00AF4017" w:rsidP="00747EA7">
      <w:r>
        <w:separator/>
      </w:r>
    </w:p>
  </w:endnote>
  <w:endnote w:type="continuationSeparator" w:id="0">
    <w:p w:rsidR="00AF4017" w:rsidRDefault="00AF4017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AF4017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17" w:rsidRDefault="00AF4017" w:rsidP="00747EA7">
      <w:r>
        <w:separator/>
      </w:r>
    </w:p>
  </w:footnote>
  <w:footnote w:type="continuationSeparator" w:id="0">
    <w:p w:rsidR="00AF4017" w:rsidRDefault="00AF4017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25762"/>
    <w:rsid w:val="005323AE"/>
    <w:rsid w:val="005530A7"/>
    <w:rsid w:val="00566EDB"/>
    <w:rsid w:val="00572534"/>
    <w:rsid w:val="005942EF"/>
    <w:rsid w:val="005D0843"/>
    <w:rsid w:val="005D5A99"/>
    <w:rsid w:val="005F71E5"/>
    <w:rsid w:val="006011B8"/>
    <w:rsid w:val="006024B7"/>
    <w:rsid w:val="00610F29"/>
    <w:rsid w:val="006343F6"/>
    <w:rsid w:val="00640B79"/>
    <w:rsid w:val="00684BD9"/>
    <w:rsid w:val="00697E57"/>
    <w:rsid w:val="00707211"/>
    <w:rsid w:val="007169B1"/>
    <w:rsid w:val="00736B30"/>
    <w:rsid w:val="0073726E"/>
    <w:rsid w:val="00740629"/>
    <w:rsid w:val="00747EA7"/>
    <w:rsid w:val="00760360"/>
    <w:rsid w:val="007A01FB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A45DE4"/>
    <w:rsid w:val="00AB2729"/>
    <w:rsid w:val="00AC0D19"/>
    <w:rsid w:val="00AF4017"/>
    <w:rsid w:val="00B338DA"/>
    <w:rsid w:val="00B43227"/>
    <w:rsid w:val="00B8350C"/>
    <w:rsid w:val="00BB60E4"/>
    <w:rsid w:val="00C1407D"/>
    <w:rsid w:val="00C4301C"/>
    <w:rsid w:val="00C618F7"/>
    <w:rsid w:val="00CB5CAD"/>
    <w:rsid w:val="00D00A86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203C3F"/>
    <w:rsid w:val="002703BA"/>
    <w:rsid w:val="005452D2"/>
    <w:rsid w:val="00764DCB"/>
    <w:rsid w:val="00812F8F"/>
    <w:rsid w:val="00921EB7"/>
    <w:rsid w:val="00BA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8B2B-1726-457F-BE62-C60C6FD8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3</cp:revision>
  <cp:lastPrinted>2020-09-03T08:49:00Z</cp:lastPrinted>
  <dcterms:created xsi:type="dcterms:W3CDTF">2021-03-10T09:25:00Z</dcterms:created>
  <dcterms:modified xsi:type="dcterms:W3CDTF">2021-03-10T09:39:00Z</dcterms:modified>
</cp:coreProperties>
</file>