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horzAnchor="margin" w:tblpXSpec="center" w:tblpY="-420"/>
        <w:tblW w:w="1087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016B02" w:rsidRPr="00016B02" w:rsidTr="006343F6">
        <w:trPr>
          <w:trHeight w:val="1138"/>
        </w:trPr>
        <w:tc>
          <w:tcPr>
            <w:tcW w:w="10877" w:type="dxa"/>
            <w:vAlign w:val="center"/>
          </w:tcPr>
          <w:tbl>
            <w:tblPr>
              <w:tblStyle w:val="a4"/>
              <w:tblW w:w="10236" w:type="dxa"/>
              <w:tblLook w:val="04A0" w:firstRow="1" w:lastRow="0" w:firstColumn="1" w:lastColumn="0" w:noHBand="0" w:noVBand="1"/>
            </w:tblPr>
            <w:tblGrid>
              <w:gridCol w:w="2445"/>
              <w:gridCol w:w="5098"/>
              <w:gridCol w:w="2693"/>
            </w:tblGrid>
            <w:tr w:rsidR="00016B02" w:rsidRPr="00016B02" w:rsidTr="00F46AA4">
              <w:tc>
                <w:tcPr>
                  <w:tcW w:w="2445" w:type="dxa"/>
                  <w:tcBorders>
                    <w:top w:val="nil"/>
                    <w:left w:val="nil"/>
                    <w:bottom w:val="nil"/>
                    <w:right w:val="nil"/>
                  </w:tcBorders>
                  <w:vAlign w:val="center"/>
                </w:tcPr>
                <w:p w:rsidR="00016B02" w:rsidRPr="00016B02" w:rsidRDefault="00216BB9" w:rsidP="006343F6">
                  <w:pPr>
                    <w:framePr w:hSpace="180" w:wrap="around" w:hAnchor="margin" w:xAlign="center" w:y="-420"/>
                    <w:jc w:val="center"/>
                    <w:rPr>
                      <w:rFonts w:ascii="Arial" w:hAnsi="Arial" w:cs="Arial"/>
                      <w:b/>
                      <w:color w:val="14435B"/>
                      <w:sz w:val="18"/>
                      <w:szCs w:val="18"/>
                    </w:rPr>
                  </w:pPr>
                  <w:r>
                    <w:rPr>
                      <w:rFonts w:ascii="Arial" w:hAnsi="Arial" w:cs="Arial"/>
                      <w:noProof/>
                      <w:sz w:val="24"/>
                      <w:szCs w:val="24"/>
                    </w:rPr>
                    <w:drawing>
                      <wp:inline distT="0" distB="0" distL="0" distR="0">
                        <wp:extent cx="927166" cy="97155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2а -1 ц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758" cy="973218"/>
                                </a:xfrm>
                                <a:prstGeom prst="rect">
                                  <a:avLst/>
                                </a:prstGeom>
                              </pic:spPr>
                            </pic:pic>
                          </a:graphicData>
                        </a:graphic>
                      </wp:inline>
                    </w:drawing>
                  </w:r>
                </w:p>
              </w:tc>
              <w:tc>
                <w:tcPr>
                  <w:tcW w:w="5098" w:type="dxa"/>
                  <w:tcBorders>
                    <w:top w:val="nil"/>
                    <w:left w:val="nil"/>
                    <w:bottom w:val="nil"/>
                    <w:right w:val="nil"/>
                  </w:tcBorders>
                </w:tcPr>
                <w:p w:rsidR="00F46AA4" w:rsidRDefault="00F46AA4" w:rsidP="006343F6">
                  <w:pPr>
                    <w:pStyle w:val="a5"/>
                    <w:framePr w:hSpace="180" w:wrap="around" w:hAnchor="margin" w:xAlign="center" w:y="-420"/>
                    <w:rPr>
                      <w:rFonts w:ascii="Arial" w:hAnsi="Arial" w:cs="Arial"/>
                      <w:sz w:val="18"/>
                      <w:szCs w:val="18"/>
                    </w:rPr>
                  </w:pPr>
                </w:p>
                <w:p w:rsidR="00016B02" w:rsidRPr="009250C5" w:rsidRDefault="00016B02" w:rsidP="006343F6">
                  <w:pPr>
                    <w:pStyle w:val="a5"/>
                    <w:framePr w:hSpace="180" w:wrap="around" w:hAnchor="margin" w:xAlign="center" w:y="-420"/>
                    <w:jc w:val="center"/>
                    <w:rPr>
                      <w:rFonts w:ascii="Arial" w:hAnsi="Arial" w:cs="Arial"/>
                    </w:rPr>
                  </w:pPr>
                  <w:r w:rsidRPr="009250C5">
                    <w:rPr>
                      <w:rFonts w:ascii="Arial" w:hAnsi="Arial" w:cs="Arial"/>
                    </w:rPr>
                    <w:t>Частное учреждение</w:t>
                  </w:r>
                </w:p>
                <w:p w:rsidR="00F46AA4" w:rsidRPr="009250C5" w:rsidRDefault="00016B02" w:rsidP="006343F6">
                  <w:pPr>
                    <w:pStyle w:val="a5"/>
                    <w:framePr w:hSpace="180" w:wrap="around" w:hAnchor="margin" w:xAlign="center" w:y="-420"/>
                    <w:jc w:val="center"/>
                    <w:rPr>
                      <w:rFonts w:ascii="Arial" w:hAnsi="Arial" w:cs="Arial"/>
                    </w:rPr>
                  </w:pPr>
                  <w:r w:rsidRPr="009250C5">
                    <w:rPr>
                      <w:rFonts w:ascii="Arial" w:hAnsi="Arial" w:cs="Arial"/>
                      <w:spacing w:val="-4"/>
                    </w:rPr>
                    <w:t>Организация дополнительного профессионального</w:t>
                  </w:r>
                  <w:r w:rsidRPr="009250C5">
                    <w:rPr>
                      <w:rFonts w:ascii="Arial" w:hAnsi="Arial" w:cs="Arial"/>
                    </w:rPr>
                    <w:t xml:space="preserve"> </w:t>
                  </w:r>
                </w:p>
                <w:p w:rsidR="00016B02" w:rsidRPr="009250C5" w:rsidRDefault="00016B02" w:rsidP="006343F6">
                  <w:pPr>
                    <w:pStyle w:val="a5"/>
                    <w:framePr w:hSpace="180" w:wrap="around" w:hAnchor="margin" w:xAlign="center" w:y="-420"/>
                    <w:jc w:val="center"/>
                    <w:rPr>
                      <w:rFonts w:ascii="Arial" w:hAnsi="Arial" w:cs="Arial"/>
                      <w:b/>
                    </w:rPr>
                  </w:pPr>
                  <w:r w:rsidRPr="009250C5">
                    <w:rPr>
                      <w:rFonts w:ascii="Arial" w:hAnsi="Arial" w:cs="Arial"/>
                    </w:rPr>
                    <w:t>образования</w:t>
                  </w:r>
                </w:p>
                <w:p w:rsidR="00016B02" w:rsidRPr="00F46AA4" w:rsidRDefault="00016B02" w:rsidP="006343F6">
                  <w:pPr>
                    <w:pStyle w:val="a5"/>
                    <w:framePr w:hSpace="180" w:wrap="around" w:hAnchor="margin" w:xAlign="center" w:y="-420"/>
                    <w:jc w:val="center"/>
                    <w:rPr>
                      <w:rFonts w:ascii="Arial" w:hAnsi="Arial" w:cs="Arial"/>
                      <w:b/>
                      <w:color w:val="800000"/>
                      <w:sz w:val="26"/>
                      <w:szCs w:val="26"/>
                    </w:rPr>
                  </w:pPr>
                  <w:r w:rsidRPr="00F46AA4">
                    <w:rPr>
                      <w:rFonts w:ascii="Arial" w:hAnsi="Arial" w:cs="Arial"/>
                      <w:b/>
                      <w:color w:val="800000"/>
                      <w:sz w:val="26"/>
                      <w:szCs w:val="26"/>
                    </w:rPr>
                    <w:t>УЧЕБНО-МЕТОДИЧЕСКИЙ ЦЕНТР</w:t>
                  </w:r>
                </w:p>
                <w:p w:rsidR="00016B02" w:rsidRPr="00F46AA4" w:rsidRDefault="00016B02" w:rsidP="006343F6">
                  <w:pPr>
                    <w:pStyle w:val="a5"/>
                    <w:framePr w:hSpace="180" w:wrap="around" w:hAnchor="margin" w:xAlign="center" w:y="-420"/>
                    <w:jc w:val="center"/>
                    <w:rPr>
                      <w:rFonts w:ascii="Arial" w:hAnsi="Arial" w:cs="Arial"/>
                      <w:b/>
                      <w:color w:val="800000"/>
                      <w:spacing w:val="68"/>
                      <w:sz w:val="26"/>
                      <w:szCs w:val="26"/>
                    </w:rPr>
                  </w:pPr>
                  <w:r w:rsidRPr="00F46AA4">
                    <w:rPr>
                      <w:rFonts w:ascii="Arial" w:hAnsi="Arial" w:cs="Arial"/>
                      <w:b/>
                      <w:color w:val="800000"/>
                      <w:spacing w:val="68"/>
                      <w:sz w:val="26"/>
                      <w:szCs w:val="26"/>
                    </w:rPr>
                    <w:t>КОЛЛЕГИИ АУДИТОРОВ</w:t>
                  </w:r>
                </w:p>
                <w:p w:rsidR="00016B02" w:rsidRPr="00F46AA4" w:rsidRDefault="00016B02" w:rsidP="006343F6">
                  <w:pPr>
                    <w:pStyle w:val="a5"/>
                    <w:framePr w:hSpace="180" w:wrap="around" w:hAnchor="margin" w:xAlign="center" w:y="-420"/>
                    <w:jc w:val="center"/>
                    <w:rPr>
                      <w:rFonts w:ascii="Arial" w:hAnsi="Arial" w:cs="Arial"/>
                      <w:spacing w:val="24"/>
                      <w:sz w:val="14"/>
                      <w:szCs w:val="14"/>
                    </w:rPr>
                  </w:pPr>
                  <w:r w:rsidRPr="00F46AA4">
                    <w:rPr>
                      <w:rFonts w:ascii="Arial" w:hAnsi="Arial" w:cs="Arial"/>
                      <w:spacing w:val="24"/>
                      <w:sz w:val="14"/>
                      <w:szCs w:val="14"/>
                    </w:rPr>
                    <w:t>Лицензия на образовательную деятельность</w:t>
                  </w:r>
                </w:p>
                <w:p w:rsidR="00016B02" w:rsidRPr="00F46AA4" w:rsidRDefault="00016B02" w:rsidP="006343F6">
                  <w:pPr>
                    <w:framePr w:hSpace="180" w:wrap="around" w:hAnchor="margin" w:xAlign="center" w:y="-420"/>
                    <w:spacing w:after="120"/>
                    <w:jc w:val="center"/>
                    <w:rPr>
                      <w:rFonts w:ascii="Arial" w:hAnsi="Arial" w:cs="Arial"/>
                      <w:b/>
                      <w:color w:val="14435B"/>
                      <w:spacing w:val="8"/>
                      <w:sz w:val="14"/>
                      <w:szCs w:val="14"/>
                    </w:rPr>
                  </w:pPr>
                  <w:r w:rsidRPr="00F46AA4">
                    <w:rPr>
                      <w:rFonts w:ascii="Arial" w:hAnsi="Arial" w:cs="Arial"/>
                      <w:spacing w:val="8"/>
                      <w:sz w:val="14"/>
                      <w:szCs w:val="14"/>
                    </w:rPr>
                    <w:t>серия 77Л01 № 0007350 рег. № 036542 от 17.09.2015</w:t>
                  </w:r>
                </w:p>
              </w:tc>
              <w:tc>
                <w:tcPr>
                  <w:tcW w:w="2693" w:type="dxa"/>
                  <w:tcBorders>
                    <w:top w:val="nil"/>
                    <w:left w:val="nil"/>
                    <w:bottom w:val="nil"/>
                    <w:right w:val="nil"/>
                  </w:tcBorders>
                  <w:vAlign w:val="center"/>
                </w:tcPr>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p>
                <w:p w:rsidR="00F46AA4" w:rsidRDefault="00F46AA4" w:rsidP="006343F6">
                  <w:pPr>
                    <w:pStyle w:val="a5"/>
                    <w:framePr w:hSpace="180" w:wrap="around" w:hAnchor="margin" w:xAlign="center" w:y="-420"/>
                    <w:tabs>
                      <w:tab w:val="left" w:pos="322"/>
                    </w:tabs>
                    <w:ind w:right="-76"/>
                    <w:jc w:val="center"/>
                    <w:rPr>
                      <w:rFonts w:ascii="Arial" w:hAnsi="Arial" w:cs="Arial"/>
                      <w:sz w:val="18"/>
                    </w:rPr>
                  </w:pP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115172, Москва</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2-й Гончарный пер. д.3, стр.1</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Телефон: (495)</w:t>
                  </w:r>
                  <w:r w:rsidR="00B43227">
                    <w:rPr>
                      <w:rFonts w:ascii="Arial" w:hAnsi="Arial" w:cs="Arial"/>
                      <w:sz w:val="18"/>
                    </w:rPr>
                    <w:t>128-44-15</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proofErr w:type="spellStart"/>
                  <w:r w:rsidRPr="00016B02">
                    <w:rPr>
                      <w:rFonts w:ascii="Arial" w:hAnsi="Arial" w:cs="Arial"/>
                      <w:sz w:val="18"/>
                      <w:lang w:val="en-US"/>
                    </w:rPr>
                    <w:t>umcrka</w:t>
                  </w:r>
                  <w:proofErr w:type="spellEnd"/>
                  <w:r w:rsidRPr="00016B02">
                    <w:rPr>
                      <w:rFonts w:ascii="Arial" w:hAnsi="Arial" w:cs="Arial"/>
                      <w:sz w:val="18"/>
                    </w:rPr>
                    <w:t>.</w:t>
                  </w:r>
                  <w:proofErr w:type="spellStart"/>
                  <w:r w:rsidRPr="00016B02">
                    <w:rPr>
                      <w:rFonts w:ascii="Arial" w:hAnsi="Arial" w:cs="Arial"/>
                      <w:sz w:val="18"/>
                      <w:lang w:val="en-US"/>
                    </w:rPr>
                    <w:t>ru</w:t>
                  </w:r>
                  <w:proofErr w:type="spellEnd"/>
                </w:p>
                <w:p w:rsidR="00016B02" w:rsidRPr="00016B02" w:rsidRDefault="00016B02" w:rsidP="006343F6">
                  <w:pPr>
                    <w:pStyle w:val="a5"/>
                    <w:framePr w:hSpace="180" w:wrap="around" w:hAnchor="margin" w:xAlign="center" w:y="-420"/>
                    <w:tabs>
                      <w:tab w:val="left" w:pos="322"/>
                      <w:tab w:val="left" w:pos="2727"/>
                    </w:tabs>
                    <w:ind w:right="-76"/>
                    <w:jc w:val="center"/>
                    <w:rPr>
                      <w:rFonts w:ascii="Arial" w:hAnsi="Arial" w:cs="Arial"/>
                      <w:lang w:val="fr-FR"/>
                    </w:rPr>
                  </w:pPr>
                </w:p>
              </w:tc>
            </w:tr>
          </w:tbl>
          <w:p w:rsidR="00016B02" w:rsidRPr="00016B02" w:rsidRDefault="00016B02" w:rsidP="006343F6">
            <w:pPr>
              <w:jc w:val="center"/>
              <w:rPr>
                <w:rFonts w:ascii="Cambria" w:hAnsi="Cambria" w:cs="Arial"/>
                <w:bCs/>
                <w:sz w:val="28"/>
                <w:szCs w:val="28"/>
              </w:rPr>
            </w:pPr>
          </w:p>
        </w:tc>
      </w:tr>
    </w:tbl>
    <w:p w:rsidR="008B65DE" w:rsidRDefault="008B65DE" w:rsidP="00747EA7"/>
    <w:p w:rsidR="006343F6" w:rsidRDefault="006343F6" w:rsidP="006343F6"/>
    <w:tbl>
      <w:tblPr>
        <w:tblW w:w="9923" w:type="dxa"/>
        <w:jc w:val="center"/>
        <w:tblLayout w:type="fixed"/>
        <w:tblLook w:val="04A0" w:firstRow="1" w:lastRow="0" w:firstColumn="1" w:lastColumn="0" w:noHBand="0" w:noVBand="1"/>
      </w:tblPr>
      <w:tblGrid>
        <w:gridCol w:w="9923"/>
      </w:tblGrid>
      <w:tr w:rsidR="006343F6" w:rsidRPr="00A26CF4" w:rsidTr="00B0445F">
        <w:trPr>
          <w:jc w:val="center"/>
        </w:trPr>
        <w:tc>
          <w:tcPr>
            <w:tcW w:w="9923" w:type="dxa"/>
          </w:tcPr>
          <w:p w:rsidR="006343F6" w:rsidRPr="00A26CF4" w:rsidRDefault="006343F6" w:rsidP="00B0445F">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6343F6" w:rsidRPr="00A26CF4" w:rsidRDefault="006343F6" w:rsidP="00B0445F">
            <w:pPr>
              <w:overflowPunct w:val="0"/>
              <w:autoSpaceDE w:val="0"/>
              <w:autoSpaceDN w:val="0"/>
              <w:adjustRightInd w:val="0"/>
              <w:ind w:right="-108"/>
              <w:jc w:val="right"/>
              <w:textAlignment w:val="baseline"/>
              <w:rPr>
                <w:rFonts w:ascii="Arial" w:hAnsi="Arial" w:cs="Arial"/>
                <w:i/>
              </w:rPr>
            </w:pPr>
            <w:r>
              <w:rPr>
                <w:rFonts w:ascii="Arial" w:hAnsi="Arial" w:cs="Arial"/>
                <w:i/>
              </w:rPr>
              <w:t>Д</w:t>
            </w:r>
            <w:r w:rsidRPr="00A26CF4">
              <w:rPr>
                <w:rFonts w:ascii="Arial" w:hAnsi="Arial" w:cs="Arial"/>
                <w:i/>
              </w:rPr>
              <w:t>иректор ЧУ ОДПО «УМЦ КА»</w:t>
            </w:r>
          </w:p>
          <w:p w:rsidR="006343F6" w:rsidRPr="00A26CF4" w:rsidRDefault="006343F6" w:rsidP="00B0445F">
            <w:pPr>
              <w:overflowPunct w:val="0"/>
              <w:autoSpaceDE w:val="0"/>
              <w:autoSpaceDN w:val="0"/>
              <w:adjustRightInd w:val="0"/>
              <w:ind w:right="-108"/>
              <w:jc w:val="right"/>
              <w:textAlignment w:val="baseline"/>
              <w:rPr>
                <w:rFonts w:ascii="Arial" w:hAnsi="Arial" w:cs="Arial"/>
                <w:i/>
              </w:rPr>
            </w:pPr>
            <w:proofErr w:type="spellStart"/>
            <w:r w:rsidRPr="00A26CF4">
              <w:rPr>
                <w:rFonts w:ascii="Arial" w:hAnsi="Arial" w:cs="Arial"/>
                <w:i/>
              </w:rPr>
              <w:t>А.Л.Руф</w:t>
            </w:r>
            <w:proofErr w:type="spellEnd"/>
          </w:p>
        </w:tc>
      </w:tr>
    </w:tbl>
    <w:p w:rsidR="006343F6" w:rsidRPr="00A26CF4" w:rsidRDefault="006343F6" w:rsidP="006343F6">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923DE5" w:rsidRPr="009250C5" w:rsidRDefault="00923DE5" w:rsidP="009250C5">
      <w:pPr>
        <w:jc w:val="both"/>
        <w:rPr>
          <w:rFonts w:ascii="Arial" w:hAnsi="Arial" w:cs="Arial"/>
          <w:sz w:val="24"/>
          <w:szCs w:val="24"/>
        </w:rPr>
      </w:pPr>
    </w:p>
    <w:p w:rsidR="00353A8E" w:rsidRPr="00353A8E" w:rsidRDefault="00353A8E" w:rsidP="00A50F0D">
      <w:pPr>
        <w:jc w:val="center"/>
        <w:rPr>
          <w:rFonts w:ascii="Arial" w:hAnsi="Arial" w:cs="Arial"/>
          <w:b/>
          <w:bCs/>
          <w:sz w:val="24"/>
          <w:szCs w:val="24"/>
        </w:rPr>
      </w:pPr>
      <w:r w:rsidRPr="00353A8E">
        <w:rPr>
          <w:rFonts w:ascii="Arial" w:hAnsi="Arial" w:cs="Arial"/>
          <w:b/>
          <w:bCs/>
          <w:sz w:val="24"/>
          <w:szCs w:val="24"/>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p w:rsidR="00353A8E" w:rsidRPr="00353A8E" w:rsidRDefault="00353A8E" w:rsidP="00353A8E">
      <w:pPr>
        <w:rPr>
          <w:rFonts w:ascii="Arial" w:hAnsi="Arial" w:cs="Arial"/>
          <w:b/>
          <w:bCs/>
          <w:sz w:val="24"/>
          <w:szCs w:val="24"/>
        </w:rPr>
      </w:pPr>
    </w:p>
    <w:p w:rsidR="00353A8E" w:rsidRPr="00353A8E" w:rsidRDefault="00353A8E" w:rsidP="00A50F0D">
      <w:pPr>
        <w:jc w:val="both"/>
        <w:rPr>
          <w:rFonts w:ascii="Arial" w:hAnsi="Arial" w:cs="Arial"/>
          <w:b/>
          <w:bCs/>
          <w:sz w:val="24"/>
          <w:szCs w:val="24"/>
        </w:rPr>
      </w:pPr>
      <w:bookmarkStart w:id="0" w:name="_GoBack"/>
      <w:r w:rsidRPr="00353A8E">
        <w:rPr>
          <w:rFonts w:ascii="Arial" w:hAnsi="Arial" w:cs="Arial"/>
          <w:b/>
          <w:bCs/>
          <w:sz w:val="24"/>
          <w:szCs w:val="24"/>
        </w:rPr>
        <w:t>Продолжительность обучения - 16 академических часов.</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 xml:space="preserve"> Цель программы –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Раздел 1. Институционально-правовые основы национальной системы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1. Международные стандарты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 xml:space="preserve"> 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3. Правовое регулирование в сфере ПОД/ФТ/ФРОМУ в Российской Федерации</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 xml:space="preserve">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w:t>
      </w:r>
      <w:r w:rsidRPr="00353A8E">
        <w:rPr>
          <w:rFonts w:ascii="Arial" w:hAnsi="Arial" w:cs="Arial"/>
          <w:b/>
          <w:bCs/>
          <w:sz w:val="24"/>
          <w:szCs w:val="24"/>
        </w:rPr>
        <w:lastRenderedPageBreak/>
        <w:t>Росфинмониторинга. Роль аудиторских организаций и аудиторов в национальной системе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4. Национальная оценка рисков легализации (отмывания) преступных доходов и рисков финансирования терроризма (НОР ОД/ФТ)</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5. Надзор в сфере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 xml:space="preserve"> Формы надзора и виды проверок. Планирование и основания проведения проверок по вопросам ПОД/ФТ/ФРОМУ. Объекты проверки. Права проверяющего государственного органа саморегулируемых организаций. Взаимодействие Росфинмониторинга с надзорными органами и саморегулируемыми организациями.</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6. Ответственность за нарушение законодательства Российской Федерации в сфере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(надзорных) органов. Порядок применения мер ответственности. Обжалование решений должностных лиц.</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Раздел 2. Организация и осуществление внутреннего контроля как механизма эффективной реализации мер по ПОД/ФТ/ФРОМУ1</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 xml:space="preserve"> Тема 7. Права и обязанности субъектов первичного финансового мониторинга</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Требования к организации внутреннего контроля аудируемых лиц – субъектов первичного финансового мониторинга. Их основные права и обязанности.</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Требования к организации внутреннего контроля аудиторской организации как субъекта первичного финансового мониторинга.</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 xml:space="preserve"> Обязанности аудитора по ПОД/ФТ/</w:t>
      </w:r>
      <w:proofErr w:type="gramStart"/>
      <w:r w:rsidRPr="00353A8E">
        <w:rPr>
          <w:rFonts w:ascii="Arial" w:hAnsi="Arial" w:cs="Arial"/>
          <w:b/>
          <w:bCs/>
          <w:sz w:val="24"/>
          <w:szCs w:val="24"/>
        </w:rPr>
        <w:t>ФРОМУ  при</w:t>
      </w:r>
      <w:proofErr w:type="gramEnd"/>
      <w:r w:rsidRPr="00353A8E">
        <w:rPr>
          <w:rFonts w:ascii="Arial" w:hAnsi="Arial" w:cs="Arial"/>
          <w:b/>
          <w:bCs/>
          <w:sz w:val="24"/>
          <w:szCs w:val="24"/>
        </w:rPr>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w:t>
      </w:r>
      <w:r w:rsidRPr="00353A8E">
        <w:rPr>
          <w:rFonts w:ascii="Arial" w:hAnsi="Arial" w:cs="Arial"/>
          <w:b/>
          <w:bCs/>
          <w:sz w:val="24"/>
          <w:szCs w:val="24"/>
        </w:rPr>
        <w:lastRenderedPageBreak/>
        <w:t xml:space="preserve">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w:t>
      </w:r>
      <w:proofErr w:type="spellStart"/>
      <w:r w:rsidRPr="00353A8E">
        <w:rPr>
          <w:rFonts w:ascii="Arial" w:hAnsi="Arial" w:cs="Arial"/>
          <w:b/>
          <w:bCs/>
          <w:sz w:val="24"/>
          <w:szCs w:val="24"/>
        </w:rPr>
        <w:t>Росфиемониторинга</w:t>
      </w:r>
      <w:proofErr w:type="spellEnd"/>
      <w:r w:rsidRPr="00353A8E">
        <w:rPr>
          <w:rFonts w:ascii="Arial" w:hAnsi="Arial" w:cs="Arial"/>
          <w:b/>
          <w:bCs/>
          <w:sz w:val="24"/>
          <w:szCs w:val="24"/>
        </w:rPr>
        <w:t xml:space="preserve"> о сомнительных сделках и операциях; исполнение требований в отношении приема на обслуживание и обслуживание публичных должностных лиц;.</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8. Требования к разработке правил внутреннего контроля</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9. Критерии и признаки сомнительных сделок или финансовых операций</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10. Система подготовки и обучения кадров организаций</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Тема 11. Типичные правонарушения в сфере ПОД/ФТ/ФРОМУ</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Примеры нарушений требований законодательства о ПОД/ФТ/ФРОМУ субъектами первичного финансового мониторинга.</w:t>
      </w:r>
    </w:p>
    <w:p w:rsidR="00353A8E" w:rsidRPr="00353A8E" w:rsidRDefault="00353A8E" w:rsidP="00A50F0D">
      <w:pPr>
        <w:jc w:val="both"/>
        <w:rPr>
          <w:rFonts w:ascii="Arial" w:hAnsi="Arial" w:cs="Arial"/>
          <w:b/>
          <w:bCs/>
          <w:sz w:val="24"/>
          <w:szCs w:val="24"/>
        </w:rPr>
      </w:pPr>
    </w:p>
    <w:p w:rsidR="00353A8E" w:rsidRPr="00353A8E" w:rsidRDefault="00353A8E" w:rsidP="00A50F0D">
      <w:pPr>
        <w:jc w:val="both"/>
        <w:rPr>
          <w:rFonts w:ascii="Arial" w:hAnsi="Arial" w:cs="Arial"/>
          <w:b/>
          <w:bCs/>
          <w:sz w:val="24"/>
          <w:szCs w:val="24"/>
        </w:rPr>
      </w:pPr>
      <w:r w:rsidRPr="00353A8E">
        <w:rPr>
          <w:rFonts w:ascii="Arial" w:hAnsi="Arial" w:cs="Arial"/>
          <w:b/>
          <w:bCs/>
          <w:sz w:val="24"/>
          <w:szCs w:val="24"/>
        </w:rPr>
        <w:t>__________________</w:t>
      </w:r>
    </w:p>
    <w:p w:rsidR="00353A8E" w:rsidRPr="00353A8E" w:rsidRDefault="00353A8E" w:rsidP="00A50F0D">
      <w:pPr>
        <w:jc w:val="both"/>
        <w:rPr>
          <w:rFonts w:ascii="Arial" w:hAnsi="Arial" w:cs="Arial"/>
          <w:b/>
          <w:bCs/>
          <w:sz w:val="24"/>
          <w:szCs w:val="24"/>
        </w:rPr>
      </w:pPr>
    </w:p>
    <w:p w:rsidR="009E22CE" w:rsidRDefault="00353A8E" w:rsidP="00A50F0D">
      <w:pPr>
        <w:jc w:val="both"/>
      </w:pPr>
      <w:r w:rsidRPr="00353A8E">
        <w:rPr>
          <w:rFonts w:ascii="Arial" w:hAnsi="Arial" w:cs="Arial"/>
          <w:b/>
          <w:bCs/>
          <w:sz w:val="24"/>
          <w:szCs w:val="24"/>
        </w:rPr>
        <w:t xml:space="preserve">1Вопросы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w:t>
      </w:r>
      <w:r w:rsidRPr="00353A8E">
        <w:rPr>
          <w:rFonts w:ascii="Arial" w:hAnsi="Arial" w:cs="Arial"/>
          <w:b/>
          <w:bCs/>
          <w:sz w:val="24"/>
          <w:szCs w:val="24"/>
        </w:rPr>
        <w:lastRenderedPageBreak/>
        <w:t xml:space="preserve">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w:t>
      </w:r>
      <w:bookmarkEnd w:id="0"/>
      <w:r w:rsidRPr="00353A8E">
        <w:rPr>
          <w:rFonts w:ascii="Arial" w:hAnsi="Arial" w:cs="Arial"/>
          <w:b/>
          <w:bCs/>
          <w:sz w:val="24"/>
          <w:szCs w:val="24"/>
        </w:rPr>
        <w:t>иным имуществом.</w:t>
      </w:r>
    </w:p>
    <w:sectPr w:rsidR="009E22CE" w:rsidSect="009250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308" w:rsidRDefault="008B3308" w:rsidP="00747EA7">
      <w:r>
        <w:separator/>
      </w:r>
    </w:p>
  </w:endnote>
  <w:endnote w:type="continuationSeparator" w:id="0">
    <w:p w:rsidR="008B3308" w:rsidRDefault="008B3308" w:rsidP="007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77"/>
      <w:gridCol w:w="4678"/>
    </w:tblGrid>
    <w:tr w:rsidR="009250C5">
      <w:tc>
        <w:tcPr>
          <w:tcW w:w="2500" w:type="pct"/>
          <w:shd w:val="clear" w:color="auto" w:fill="4472C4" w:themeFill="accent1"/>
          <w:vAlign w:val="center"/>
        </w:tcPr>
        <w:p w:rsidR="009250C5" w:rsidRDefault="008B3308">
          <w:pPr>
            <w:pStyle w:val="a7"/>
            <w:tabs>
              <w:tab w:val="clear" w:pos="4677"/>
              <w:tab w:val="clear" w:pos="9355"/>
            </w:tabs>
            <w:spacing w:before="80" w:after="80"/>
            <w:jc w:val="both"/>
            <w:rPr>
              <w:caps/>
              <w:color w:val="FFFFFF" w:themeColor="background1"/>
              <w:sz w:val="18"/>
              <w:szCs w:val="18"/>
            </w:rPr>
          </w:pPr>
          <w:sdt>
            <w:sdtPr>
              <w:rPr>
                <w:caps/>
                <w:color w:val="FFFFFF" w:themeColor="background1"/>
                <w:sz w:val="18"/>
                <w:szCs w:val="18"/>
              </w:rPr>
              <w:alias w:val="Название"/>
              <w:tag w:val=""/>
              <w:id w:val="-578829839"/>
              <w:placeholder>
                <w:docPart w:val="38F1C587C4314E1D8B62C9DD2AE6FBFB"/>
              </w:placeholder>
              <w:dataBinding w:prefixMappings="xmlns:ns0='http://purl.org/dc/elements/1.1/' xmlns:ns1='http://schemas.openxmlformats.org/package/2006/metadata/core-properties' " w:xpath="/ns1:coreProperties[1]/ns0:title[1]" w:storeItemID="{6C3C8BC8-F283-45AE-878A-BAB7291924A1}"/>
              <w:text/>
            </w:sdtPr>
            <w:sdtEndPr/>
            <w:sdtContent>
              <w:r w:rsidR="009250C5" w:rsidRPr="009250C5">
                <w:rPr>
                  <w:caps/>
                  <w:color w:val="FFFFFF" w:themeColor="background1"/>
                  <w:sz w:val="18"/>
                  <w:szCs w:val="18"/>
                </w:rPr>
                <w:t>ЧУ ОДПО "УМЦ КА", тел. (495) 128-44-15</w:t>
              </w:r>
            </w:sdtContent>
          </w:sdt>
        </w:p>
      </w:tc>
      <w:tc>
        <w:tcPr>
          <w:tcW w:w="2500" w:type="pct"/>
          <w:shd w:val="clear" w:color="auto" w:fill="4472C4" w:themeFill="accent1"/>
          <w:vAlign w:val="center"/>
        </w:tcPr>
        <w:sdt>
          <w:sdtPr>
            <w:rPr>
              <w:caps/>
              <w:color w:val="FFFFFF" w:themeColor="background1"/>
              <w:sz w:val="18"/>
              <w:szCs w:val="18"/>
            </w:rPr>
            <w:alias w:val="Автор"/>
            <w:tag w:val=""/>
            <w:id w:val="-1822267932"/>
            <w:placeholder>
              <w:docPart w:val="053ED22C4180436D988F4CE3B0E49C2D"/>
            </w:placeholder>
            <w:dataBinding w:prefixMappings="xmlns:ns0='http://purl.org/dc/elements/1.1/' xmlns:ns1='http://schemas.openxmlformats.org/package/2006/metadata/core-properties' " w:xpath="/ns1:coreProperties[1]/ns0:creator[1]" w:storeItemID="{6C3C8BC8-F283-45AE-878A-BAB7291924A1}"/>
            <w:text/>
          </w:sdtPr>
          <w:sdtEndPr/>
          <w:sdtContent>
            <w:p w:rsidR="009250C5" w:rsidRDefault="009250C5">
              <w:pPr>
                <w:pStyle w:val="a7"/>
                <w:tabs>
                  <w:tab w:val="clear" w:pos="4677"/>
                  <w:tab w:val="clear" w:pos="9355"/>
                </w:tabs>
                <w:spacing w:before="80" w:after="80"/>
                <w:jc w:val="right"/>
                <w:rPr>
                  <w:caps/>
                  <w:color w:val="FFFFFF" w:themeColor="background1"/>
                  <w:sz w:val="18"/>
                  <w:szCs w:val="18"/>
                </w:rPr>
              </w:pPr>
              <w:r w:rsidRPr="009250C5">
                <w:rPr>
                  <w:caps/>
                  <w:color w:val="FFFFFF" w:themeColor="background1"/>
                  <w:sz w:val="18"/>
                  <w:szCs w:val="18"/>
                </w:rPr>
                <w:t>www.umcrka.ru</w:t>
              </w:r>
            </w:p>
          </w:sdtContent>
        </w:sdt>
      </w:tc>
    </w:tr>
  </w:tbl>
  <w:p w:rsidR="00747EA7" w:rsidRDefault="00747E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308" w:rsidRDefault="008B3308" w:rsidP="00747EA7">
      <w:r>
        <w:separator/>
      </w:r>
    </w:p>
  </w:footnote>
  <w:footnote w:type="continuationSeparator" w:id="0">
    <w:p w:rsidR="008B3308" w:rsidRDefault="008B3308" w:rsidP="00747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D41"/>
    <w:multiLevelType w:val="hybridMultilevel"/>
    <w:tmpl w:val="92B4A7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0BE1"/>
    <w:multiLevelType w:val="hybridMultilevel"/>
    <w:tmpl w:val="CAA6E65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75155"/>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801A4"/>
    <w:multiLevelType w:val="hybridMultilevel"/>
    <w:tmpl w:val="39A869F8"/>
    <w:lvl w:ilvl="0" w:tplc="D25A3C2E">
      <w:start w:val="1"/>
      <w:numFmt w:val="decimal"/>
      <w:lvlText w:val="%1."/>
      <w:lvlJc w:val="left"/>
      <w:pPr>
        <w:tabs>
          <w:tab w:val="num" w:pos="547"/>
        </w:tabs>
        <w:ind w:left="547" w:hanging="405"/>
      </w:pPr>
      <w:rPr>
        <w:rFonts w:hint="default"/>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0B7B1B00"/>
    <w:multiLevelType w:val="hybridMultilevel"/>
    <w:tmpl w:val="26CA9FAE"/>
    <w:lvl w:ilvl="0" w:tplc="23F4C6F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92582"/>
    <w:multiLevelType w:val="hybridMultilevel"/>
    <w:tmpl w:val="4DE81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1529F"/>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52E441C"/>
    <w:multiLevelType w:val="multilevel"/>
    <w:tmpl w:val="DC623F66"/>
    <w:lvl w:ilvl="0">
      <w:start w:val="1"/>
      <w:numFmt w:val="decimal"/>
      <w:lvlText w:val="%1."/>
      <w:lvlJc w:val="left"/>
      <w:pPr>
        <w:ind w:left="36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15:restartNumberingAfterBreak="0">
    <w:nsid w:val="170974B7"/>
    <w:multiLevelType w:val="multilevel"/>
    <w:tmpl w:val="CFFA1E6A"/>
    <w:lvl w:ilvl="0">
      <w:start w:val="7"/>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7CE754E"/>
    <w:multiLevelType w:val="multilevel"/>
    <w:tmpl w:val="1812D88A"/>
    <w:lvl w:ilvl="0">
      <w:start w:val="1"/>
      <w:numFmt w:val="decimal"/>
      <w:lvlText w:val="%1)"/>
      <w:lvlJc w:val="left"/>
      <w:pPr>
        <w:ind w:left="408" w:hanging="408"/>
      </w:pPr>
      <w:rPr>
        <w:rFonts w:hint="default"/>
        <w:sz w:val="20"/>
        <w:szCs w:val="20"/>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 w15:restartNumberingAfterBreak="0">
    <w:nsid w:val="1A403E0D"/>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C0E68"/>
    <w:multiLevelType w:val="multilevel"/>
    <w:tmpl w:val="A3B00A02"/>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B77E1D"/>
    <w:multiLevelType w:val="multilevel"/>
    <w:tmpl w:val="E20A144C"/>
    <w:lvl w:ilvl="0">
      <w:start w:val="6"/>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3" w15:restartNumberingAfterBreak="0">
    <w:nsid w:val="23E71417"/>
    <w:multiLevelType w:val="hybridMultilevel"/>
    <w:tmpl w:val="567A1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40016"/>
    <w:multiLevelType w:val="multilevel"/>
    <w:tmpl w:val="161ED23C"/>
    <w:lvl w:ilvl="0">
      <w:start w:val="4"/>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5" w15:restartNumberingAfterBreak="0">
    <w:nsid w:val="292D6599"/>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2D0D080B"/>
    <w:multiLevelType w:val="multilevel"/>
    <w:tmpl w:val="98520324"/>
    <w:lvl w:ilvl="0">
      <w:start w:val="8"/>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7" w15:restartNumberingAfterBreak="0">
    <w:nsid w:val="2DAC5EDE"/>
    <w:multiLevelType w:val="hybridMultilevel"/>
    <w:tmpl w:val="46DAA8E4"/>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F13E38"/>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6087DF8"/>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E734D"/>
    <w:multiLevelType w:val="multilevel"/>
    <w:tmpl w:val="4AFC2C84"/>
    <w:lvl w:ilvl="0">
      <w:start w:val="7"/>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21" w15:restartNumberingAfterBreak="0">
    <w:nsid w:val="4496692F"/>
    <w:multiLevelType w:val="multilevel"/>
    <w:tmpl w:val="3E2802F6"/>
    <w:lvl w:ilvl="0">
      <w:start w:val="5"/>
      <w:numFmt w:val="decimal"/>
      <w:lvlText w:val="%1."/>
      <w:lvlJc w:val="left"/>
      <w:pPr>
        <w:ind w:left="408" w:hanging="408"/>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2160" w:hanging="2160"/>
      </w:pPr>
      <w:rPr>
        <w:rFonts w:eastAsia="Times New Roman" w:hint="default"/>
        <w:b w:val="0"/>
        <w:color w:val="000000"/>
      </w:rPr>
    </w:lvl>
  </w:abstractNum>
  <w:abstractNum w:abstractNumId="22" w15:restartNumberingAfterBreak="0">
    <w:nsid w:val="4FDF702A"/>
    <w:multiLevelType w:val="multilevel"/>
    <w:tmpl w:val="A8E4B010"/>
    <w:lvl w:ilvl="0">
      <w:start w:val="5"/>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23" w15:restartNumberingAfterBreak="0">
    <w:nsid w:val="681E1066"/>
    <w:multiLevelType w:val="hybridMultilevel"/>
    <w:tmpl w:val="03A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4C0BCF"/>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D51FC"/>
    <w:multiLevelType w:val="hybridMultilevel"/>
    <w:tmpl w:val="B906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C27BA"/>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771F30"/>
    <w:multiLevelType w:val="multilevel"/>
    <w:tmpl w:val="7868A0C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4157E3"/>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F3ED6"/>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F3F05"/>
    <w:multiLevelType w:val="hybridMultilevel"/>
    <w:tmpl w:val="A5425A68"/>
    <w:lvl w:ilvl="0" w:tplc="C804B878">
      <w:start w:val="1"/>
      <w:numFmt w:val="bullet"/>
      <w:lvlText w:val=""/>
      <w:lvlJc w:val="left"/>
      <w:pPr>
        <w:ind w:left="1921" w:hanging="360"/>
      </w:pPr>
      <w:rPr>
        <w:rFonts w:ascii="Symbol" w:hAnsi="Symbol" w:hint="default"/>
      </w:rPr>
    </w:lvl>
    <w:lvl w:ilvl="1" w:tplc="04190003" w:tentative="1">
      <w:start w:val="1"/>
      <w:numFmt w:val="bullet"/>
      <w:lvlText w:val="o"/>
      <w:lvlJc w:val="left"/>
      <w:pPr>
        <w:ind w:left="2641" w:hanging="360"/>
      </w:pPr>
      <w:rPr>
        <w:rFonts w:ascii="Courier New" w:hAnsi="Courier New" w:cs="Courier New" w:hint="default"/>
      </w:rPr>
    </w:lvl>
    <w:lvl w:ilvl="2" w:tplc="04190005" w:tentative="1">
      <w:start w:val="1"/>
      <w:numFmt w:val="bullet"/>
      <w:lvlText w:val=""/>
      <w:lvlJc w:val="left"/>
      <w:pPr>
        <w:ind w:left="3361" w:hanging="360"/>
      </w:pPr>
      <w:rPr>
        <w:rFonts w:ascii="Wingdings" w:hAnsi="Wingdings" w:hint="default"/>
      </w:rPr>
    </w:lvl>
    <w:lvl w:ilvl="3" w:tplc="04190001" w:tentative="1">
      <w:start w:val="1"/>
      <w:numFmt w:val="bullet"/>
      <w:lvlText w:val=""/>
      <w:lvlJc w:val="left"/>
      <w:pPr>
        <w:ind w:left="4081" w:hanging="360"/>
      </w:pPr>
      <w:rPr>
        <w:rFonts w:ascii="Symbol" w:hAnsi="Symbol" w:hint="default"/>
      </w:rPr>
    </w:lvl>
    <w:lvl w:ilvl="4" w:tplc="04190003" w:tentative="1">
      <w:start w:val="1"/>
      <w:numFmt w:val="bullet"/>
      <w:lvlText w:val="o"/>
      <w:lvlJc w:val="left"/>
      <w:pPr>
        <w:ind w:left="4801" w:hanging="360"/>
      </w:pPr>
      <w:rPr>
        <w:rFonts w:ascii="Courier New" w:hAnsi="Courier New" w:cs="Courier New" w:hint="default"/>
      </w:rPr>
    </w:lvl>
    <w:lvl w:ilvl="5" w:tplc="04190005" w:tentative="1">
      <w:start w:val="1"/>
      <w:numFmt w:val="bullet"/>
      <w:lvlText w:val=""/>
      <w:lvlJc w:val="left"/>
      <w:pPr>
        <w:ind w:left="5521" w:hanging="360"/>
      </w:pPr>
      <w:rPr>
        <w:rFonts w:ascii="Wingdings" w:hAnsi="Wingdings" w:hint="default"/>
      </w:rPr>
    </w:lvl>
    <w:lvl w:ilvl="6" w:tplc="04190001" w:tentative="1">
      <w:start w:val="1"/>
      <w:numFmt w:val="bullet"/>
      <w:lvlText w:val=""/>
      <w:lvlJc w:val="left"/>
      <w:pPr>
        <w:ind w:left="6241" w:hanging="360"/>
      </w:pPr>
      <w:rPr>
        <w:rFonts w:ascii="Symbol" w:hAnsi="Symbol" w:hint="default"/>
      </w:rPr>
    </w:lvl>
    <w:lvl w:ilvl="7" w:tplc="04190003" w:tentative="1">
      <w:start w:val="1"/>
      <w:numFmt w:val="bullet"/>
      <w:lvlText w:val="o"/>
      <w:lvlJc w:val="left"/>
      <w:pPr>
        <w:ind w:left="6961" w:hanging="360"/>
      </w:pPr>
      <w:rPr>
        <w:rFonts w:ascii="Courier New" w:hAnsi="Courier New" w:cs="Courier New" w:hint="default"/>
      </w:rPr>
    </w:lvl>
    <w:lvl w:ilvl="8" w:tplc="04190005" w:tentative="1">
      <w:start w:val="1"/>
      <w:numFmt w:val="bullet"/>
      <w:lvlText w:val=""/>
      <w:lvlJc w:val="left"/>
      <w:pPr>
        <w:ind w:left="7681" w:hanging="360"/>
      </w:pPr>
      <w:rPr>
        <w:rFonts w:ascii="Wingdings" w:hAnsi="Wingdings" w:hint="default"/>
      </w:rPr>
    </w:lvl>
  </w:abstractNum>
  <w:abstractNum w:abstractNumId="31" w15:restartNumberingAfterBreak="0">
    <w:nsid w:val="7F326695"/>
    <w:multiLevelType w:val="multilevel"/>
    <w:tmpl w:val="3E2802F6"/>
    <w:lvl w:ilvl="0">
      <w:start w:val="5"/>
      <w:numFmt w:val="decimal"/>
      <w:lvlText w:val="%1."/>
      <w:lvlJc w:val="left"/>
      <w:pPr>
        <w:ind w:left="408" w:hanging="408"/>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2160" w:hanging="2160"/>
      </w:pPr>
      <w:rPr>
        <w:rFonts w:eastAsia="Times New Roman" w:hint="default"/>
        <w:b w:val="0"/>
        <w:color w:val="000000"/>
      </w:rPr>
    </w:lvl>
  </w:abstractNum>
  <w:num w:numId="1">
    <w:abstractNumId w:val="23"/>
  </w:num>
  <w:num w:numId="2">
    <w:abstractNumId w:val="10"/>
  </w:num>
  <w:num w:numId="3">
    <w:abstractNumId w:val="26"/>
  </w:num>
  <w:num w:numId="4">
    <w:abstractNumId w:val="7"/>
  </w:num>
  <w:num w:numId="5">
    <w:abstractNumId w:val="13"/>
  </w:num>
  <w:num w:numId="6">
    <w:abstractNumId w:val="0"/>
  </w:num>
  <w:num w:numId="7">
    <w:abstractNumId w:val="5"/>
  </w:num>
  <w:num w:numId="8">
    <w:abstractNumId w:val="4"/>
  </w:num>
  <w:num w:numId="9">
    <w:abstractNumId w:val="29"/>
  </w:num>
  <w:num w:numId="10">
    <w:abstractNumId w:val="19"/>
  </w:num>
  <w:num w:numId="11">
    <w:abstractNumId w:val="2"/>
  </w:num>
  <w:num w:numId="12">
    <w:abstractNumId w:val="28"/>
  </w:num>
  <w:num w:numId="13">
    <w:abstractNumId w:val="24"/>
  </w:num>
  <w:num w:numId="14">
    <w:abstractNumId w:val="11"/>
  </w:num>
  <w:num w:numId="15">
    <w:abstractNumId w:val="1"/>
  </w:num>
  <w:num w:numId="16">
    <w:abstractNumId w:val="31"/>
  </w:num>
  <w:num w:numId="17">
    <w:abstractNumId w:val="21"/>
  </w:num>
  <w:num w:numId="18">
    <w:abstractNumId w:val="12"/>
  </w:num>
  <w:num w:numId="19">
    <w:abstractNumId w:val="9"/>
  </w:num>
  <w:num w:numId="20">
    <w:abstractNumId w:val="17"/>
  </w:num>
  <w:num w:numId="21">
    <w:abstractNumId w:val="8"/>
  </w:num>
  <w:num w:numId="22">
    <w:abstractNumId w:val="6"/>
  </w:num>
  <w:num w:numId="23">
    <w:abstractNumId w:val="14"/>
  </w:num>
  <w:num w:numId="24">
    <w:abstractNumId w:val="22"/>
  </w:num>
  <w:num w:numId="25">
    <w:abstractNumId w:val="20"/>
  </w:num>
  <w:num w:numId="26">
    <w:abstractNumId w:val="15"/>
  </w:num>
  <w:num w:numId="27">
    <w:abstractNumId w:val="16"/>
  </w:num>
  <w:num w:numId="28">
    <w:abstractNumId w:val="30"/>
  </w:num>
  <w:num w:numId="29">
    <w:abstractNumId w:val="25"/>
  </w:num>
  <w:num w:numId="30">
    <w:abstractNumId w:val="18"/>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DE"/>
    <w:rsid w:val="00016B02"/>
    <w:rsid w:val="00090FF8"/>
    <w:rsid w:val="00092C63"/>
    <w:rsid w:val="000C1642"/>
    <w:rsid w:val="000F0BB0"/>
    <w:rsid w:val="000F3B2B"/>
    <w:rsid w:val="001324CD"/>
    <w:rsid w:val="001424D3"/>
    <w:rsid w:val="00196BAD"/>
    <w:rsid w:val="001C1EB4"/>
    <w:rsid w:val="001E27BF"/>
    <w:rsid w:val="00216BB9"/>
    <w:rsid w:val="002825FE"/>
    <w:rsid w:val="00295B32"/>
    <w:rsid w:val="00295D7B"/>
    <w:rsid w:val="002B3790"/>
    <w:rsid w:val="002D2892"/>
    <w:rsid w:val="00332921"/>
    <w:rsid w:val="003426B7"/>
    <w:rsid w:val="00353A8E"/>
    <w:rsid w:val="00360228"/>
    <w:rsid w:val="00386C29"/>
    <w:rsid w:val="003E4BA2"/>
    <w:rsid w:val="003F012B"/>
    <w:rsid w:val="0040110F"/>
    <w:rsid w:val="00430F50"/>
    <w:rsid w:val="00450E54"/>
    <w:rsid w:val="00452BA6"/>
    <w:rsid w:val="00453FC5"/>
    <w:rsid w:val="0049322D"/>
    <w:rsid w:val="00496DDF"/>
    <w:rsid w:val="004B0FCC"/>
    <w:rsid w:val="004C4A81"/>
    <w:rsid w:val="004E2501"/>
    <w:rsid w:val="00505186"/>
    <w:rsid w:val="005053D1"/>
    <w:rsid w:val="005323AE"/>
    <w:rsid w:val="005530A7"/>
    <w:rsid w:val="00566EDB"/>
    <w:rsid w:val="00572534"/>
    <w:rsid w:val="005942EF"/>
    <w:rsid w:val="005D5A99"/>
    <w:rsid w:val="005F71E5"/>
    <w:rsid w:val="006011B8"/>
    <w:rsid w:val="006024B7"/>
    <w:rsid w:val="00610F29"/>
    <w:rsid w:val="006343F6"/>
    <w:rsid w:val="00640B79"/>
    <w:rsid w:val="00684BD9"/>
    <w:rsid w:val="00697E57"/>
    <w:rsid w:val="00707211"/>
    <w:rsid w:val="007169B1"/>
    <w:rsid w:val="00736B30"/>
    <w:rsid w:val="0073726E"/>
    <w:rsid w:val="00740629"/>
    <w:rsid w:val="00747EA7"/>
    <w:rsid w:val="00760360"/>
    <w:rsid w:val="007A11CC"/>
    <w:rsid w:val="007D6E64"/>
    <w:rsid w:val="007E5F4C"/>
    <w:rsid w:val="00806B5B"/>
    <w:rsid w:val="00833C2A"/>
    <w:rsid w:val="0084308A"/>
    <w:rsid w:val="00851B88"/>
    <w:rsid w:val="00870D66"/>
    <w:rsid w:val="00886A42"/>
    <w:rsid w:val="008A7E85"/>
    <w:rsid w:val="008B3308"/>
    <w:rsid w:val="008B65DE"/>
    <w:rsid w:val="008D5DB2"/>
    <w:rsid w:val="008E73EB"/>
    <w:rsid w:val="008F0A39"/>
    <w:rsid w:val="00920C01"/>
    <w:rsid w:val="00923DE5"/>
    <w:rsid w:val="009250C5"/>
    <w:rsid w:val="009451F9"/>
    <w:rsid w:val="00971E79"/>
    <w:rsid w:val="009958FC"/>
    <w:rsid w:val="009B3ECD"/>
    <w:rsid w:val="009B3FFD"/>
    <w:rsid w:val="009D3F22"/>
    <w:rsid w:val="009E22CE"/>
    <w:rsid w:val="009E6F13"/>
    <w:rsid w:val="00A45DE4"/>
    <w:rsid w:val="00A50F0D"/>
    <w:rsid w:val="00AB2729"/>
    <w:rsid w:val="00AC0D19"/>
    <w:rsid w:val="00B338DA"/>
    <w:rsid w:val="00B43227"/>
    <w:rsid w:val="00B8350C"/>
    <w:rsid w:val="00BB60E4"/>
    <w:rsid w:val="00C1407D"/>
    <w:rsid w:val="00C4301C"/>
    <w:rsid w:val="00CB5CAD"/>
    <w:rsid w:val="00D00A86"/>
    <w:rsid w:val="00D45478"/>
    <w:rsid w:val="00D50427"/>
    <w:rsid w:val="00D53C97"/>
    <w:rsid w:val="00D53F5B"/>
    <w:rsid w:val="00DE74BD"/>
    <w:rsid w:val="00DF25B6"/>
    <w:rsid w:val="00E03963"/>
    <w:rsid w:val="00E36BDA"/>
    <w:rsid w:val="00E41222"/>
    <w:rsid w:val="00E43911"/>
    <w:rsid w:val="00E85E05"/>
    <w:rsid w:val="00F00F40"/>
    <w:rsid w:val="00F1219F"/>
    <w:rsid w:val="00F23E9F"/>
    <w:rsid w:val="00F46AA4"/>
    <w:rsid w:val="00F55E12"/>
    <w:rsid w:val="00F825F5"/>
    <w:rsid w:val="00F87D89"/>
    <w:rsid w:val="00F946CF"/>
    <w:rsid w:val="00F948D2"/>
    <w:rsid w:val="00FA68DB"/>
    <w:rsid w:val="00FC6869"/>
    <w:rsid w:val="00FE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23149-651D-42D2-A8D7-A78A5C3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D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8B65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w:basedOn w:val="a"/>
    <w:next w:val="2"/>
    <w:autoRedefine/>
    <w:rsid w:val="008B65DE"/>
    <w:pPr>
      <w:spacing w:after="160" w:line="240" w:lineRule="exact"/>
    </w:pPr>
    <w:rPr>
      <w:sz w:val="24"/>
      <w:lang w:val="en-US" w:eastAsia="en-US"/>
    </w:rPr>
  </w:style>
  <w:style w:type="character" w:customStyle="1" w:styleId="20">
    <w:name w:val="Заголовок 2 Знак"/>
    <w:basedOn w:val="a0"/>
    <w:link w:val="2"/>
    <w:uiPriority w:val="9"/>
    <w:semiHidden/>
    <w:rsid w:val="008B65DE"/>
    <w:rPr>
      <w:rFonts w:asciiTheme="majorHAnsi" w:eastAsiaTheme="majorEastAsia" w:hAnsiTheme="majorHAnsi" w:cstheme="majorBidi"/>
      <w:color w:val="2F5496" w:themeColor="accent1" w:themeShade="BF"/>
      <w:sz w:val="26"/>
      <w:szCs w:val="26"/>
      <w:lang w:eastAsia="ru-RU"/>
    </w:rPr>
  </w:style>
  <w:style w:type="character" w:styleId="a3">
    <w:name w:val="Hyperlink"/>
    <w:basedOn w:val="a0"/>
    <w:uiPriority w:val="99"/>
    <w:unhideWhenUsed/>
    <w:rsid w:val="008B65DE"/>
    <w:rPr>
      <w:color w:val="0563C1" w:themeColor="hyperlink"/>
      <w:u w:val="single"/>
    </w:rPr>
  </w:style>
  <w:style w:type="character" w:customStyle="1" w:styleId="1">
    <w:name w:val="Неразрешенное упоминание1"/>
    <w:basedOn w:val="a0"/>
    <w:uiPriority w:val="99"/>
    <w:semiHidden/>
    <w:unhideWhenUsed/>
    <w:rsid w:val="008B65DE"/>
    <w:rPr>
      <w:color w:val="605E5C"/>
      <w:shd w:val="clear" w:color="auto" w:fill="E1DFDD"/>
    </w:rPr>
  </w:style>
  <w:style w:type="table" w:styleId="a4">
    <w:name w:val="Table Grid"/>
    <w:basedOn w:val="a1"/>
    <w:uiPriority w:val="59"/>
    <w:rsid w:val="008B65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5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_"/>
    <w:link w:val="210"/>
    <w:rsid w:val="00747EA7"/>
    <w:rPr>
      <w:rFonts w:ascii="Arial" w:hAnsi="Arial"/>
      <w:shd w:val="clear" w:color="auto" w:fill="FFFFFF"/>
    </w:rPr>
  </w:style>
  <w:style w:type="paragraph" w:customStyle="1" w:styleId="210">
    <w:name w:val="Основной текст (2)1"/>
    <w:basedOn w:val="a"/>
    <w:link w:val="22"/>
    <w:rsid w:val="00747EA7"/>
    <w:pPr>
      <w:widowControl w:val="0"/>
      <w:shd w:val="clear" w:color="auto" w:fill="FFFFFF"/>
      <w:spacing w:after="300" w:line="274" w:lineRule="exact"/>
      <w:ind w:hanging="760"/>
      <w:jc w:val="center"/>
    </w:pPr>
    <w:rPr>
      <w:rFonts w:ascii="Arial" w:eastAsiaTheme="minorHAnsi" w:hAnsi="Arial" w:cstheme="minorBidi"/>
      <w:sz w:val="22"/>
      <w:szCs w:val="22"/>
      <w:lang w:eastAsia="en-US"/>
    </w:rPr>
  </w:style>
  <w:style w:type="paragraph" w:styleId="a5">
    <w:name w:val="header"/>
    <w:basedOn w:val="a"/>
    <w:link w:val="a6"/>
    <w:unhideWhenUsed/>
    <w:rsid w:val="00747EA7"/>
    <w:pPr>
      <w:tabs>
        <w:tab w:val="center" w:pos="4677"/>
        <w:tab w:val="right" w:pos="9355"/>
      </w:tabs>
    </w:pPr>
  </w:style>
  <w:style w:type="character" w:customStyle="1" w:styleId="a6">
    <w:name w:val="Верхний колонтитул Знак"/>
    <w:basedOn w:val="a0"/>
    <w:link w:val="a5"/>
    <w:rsid w:val="00747EA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47EA7"/>
    <w:pPr>
      <w:tabs>
        <w:tab w:val="center" w:pos="4677"/>
        <w:tab w:val="right" w:pos="9355"/>
      </w:tabs>
    </w:pPr>
  </w:style>
  <w:style w:type="character" w:customStyle="1" w:styleId="a8">
    <w:name w:val="Нижний колонтитул Знак"/>
    <w:basedOn w:val="a0"/>
    <w:link w:val="a7"/>
    <w:uiPriority w:val="99"/>
    <w:rsid w:val="00747EA7"/>
    <w:rPr>
      <w:rFonts w:ascii="Times New Roman" w:eastAsia="Times New Roman" w:hAnsi="Times New Roman" w:cs="Times New Roman"/>
      <w:sz w:val="20"/>
      <w:szCs w:val="20"/>
      <w:lang w:eastAsia="ru-RU"/>
    </w:rPr>
  </w:style>
  <w:style w:type="paragraph" w:styleId="a9">
    <w:name w:val="Intense Quote"/>
    <w:basedOn w:val="a"/>
    <w:next w:val="a"/>
    <w:link w:val="aa"/>
    <w:uiPriority w:val="30"/>
    <w:qFormat/>
    <w:rsid w:val="004011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rsid w:val="0040110F"/>
    <w:rPr>
      <w:rFonts w:ascii="Times New Roman" w:eastAsia="Times New Roman" w:hAnsi="Times New Roman" w:cs="Times New Roman"/>
      <w:i/>
      <w:iCs/>
      <w:color w:val="4472C4" w:themeColor="accent1"/>
      <w:sz w:val="20"/>
      <w:szCs w:val="20"/>
      <w:lang w:eastAsia="ru-RU"/>
    </w:rPr>
  </w:style>
  <w:style w:type="character" w:styleId="ab">
    <w:name w:val="Subtle Reference"/>
    <w:basedOn w:val="a0"/>
    <w:uiPriority w:val="31"/>
    <w:qFormat/>
    <w:rsid w:val="008F0A39"/>
    <w:rPr>
      <w:smallCaps/>
      <w:color w:val="5A5A5A" w:themeColor="text1" w:themeTint="A5"/>
    </w:rPr>
  </w:style>
  <w:style w:type="paragraph" w:styleId="ac">
    <w:name w:val="List Paragraph"/>
    <w:basedOn w:val="a"/>
    <w:uiPriority w:val="34"/>
    <w:qFormat/>
    <w:rsid w:val="001E27BF"/>
    <w:pPr>
      <w:ind w:left="720"/>
      <w:contextualSpacing/>
    </w:pPr>
  </w:style>
  <w:style w:type="paragraph" w:styleId="ad">
    <w:name w:val="Balloon Text"/>
    <w:basedOn w:val="a"/>
    <w:link w:val="ae"/>
    <w:uiPriority w:val="99"/>
    <w:semiHidden/>
    <w:unhideWhenUsed/>
    <w:rsid w:val="00016B02"/>
    <w:rPr>
      <w:rFonts w:ascii="Tahoma" w:hAnsi="Tahoma" w:cs="Tahoma"/>
      <w:sz w:val="16"/>
      <w:szCs w:val="16"/>
    </w:rPr>
  </w:style>
  <w:style w:type="character" w:customStyle="1" w:styleId="ae">
    <w:name w:val="Текст выноски Знак"/>
    <w:basedOn w:val="a0"/>
    <w:link w:val="ad"/>
    <w:uiPriority w:val="99"/>
    <w:semiHidden/>
    <w:rsid w:val="00016B02"/>
    <w:rPr>
      <w:rFonts w:ascii="Tahoma" w:eastAsia="Times New Roman" w:hAnsi="Tahoma" w:cs="Tahoma"/>
      <w:sz w:val="16"/>
      <w:szCs w:val="16"/>
      <w:lang w:eastAsia="ru-RU"/>
    </w:rPr>
  </w:style>
  <w:style w:type="paragraph" w:styleId="af">
    <w:name w:val="Normal (Web)"/>
    <w:basedOn w:val="a"/>
    <w:rsid w:val="007D6E64"/>
    <w:pPr>
      <w:spacing w:before="100" w:beforeAutospacing="1" w:after="100" w:afterAutospacing="1"/>
    </w:pPr>
    <w:rPr>
      <w:sz w:val="24"/>
      <w:szCs w:val="24"/>
    </w:rPr>
  </w:style>
  <w:style w:type="character" w:customStyle="1" w:styleId="8">
    <w:name w:val="Основной текст (8)_"/>
    <w:basedOn w:val="a0"/>
    <w:link w:val="80"/>
    <w:rsid w:val="007D6E64"/>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7D6E64"/>
    <w:pPr>
      <w:widowControl w:val="0"/>
      <w:shd w:val="clear" w:color="auto" w:fill="FFFFFF"/>
      <w:spacing w:line="0" w:lineRule="atLeast"/>
    </w:pPr>
    <w:rPr>
      <w:b/>
      <w:bCs/>
      <w:sz w:val="22"/>
      <w:szCs w:val="22"/>
      <w:lang w:eastAsia="en-US"/>
    </w:rPr>
  </w:style>
  <w:style w:type="character" w:customStyle="1" w:styleId="10">
    <w:name w:val="Заголовок №1_"/>
    <w:basedOn w:val="a0"/>
    <w:link w:val="11"/>
    <w:rsid w:val="007D6E64"/>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7D6E64"/>
    <w:pPr>
      <w:widowControl w:val="0"/>
      <w:shd w:val="clear" w:color="auto" w:fill="FFFFFF"/>
      <w:spacing w:line="0" w:lineRule="atLeas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459">
      <w:bodyDiv w:val="1"/>
      <w:marLeft w:val="0"/>
      <w:marRight w:val="0"/>
      <w:marTop w:val="0"/>
      <w:marBottom w:val="0"/>
      <w:divBdr>
        <w:top w:val="none" w:sz="0" w:space="0" w:color="auto"/>
        <w:left w:val="none" w:sz="0" w:space="0" w:color="auto"/>
        <w:bottom w:val="none" w:sz="0" w:space="0" w:color="auto"/>
        <w:right w:val="none" w:sz="0" w:space="0" w:color="auto"/>
      </w:divBdr>
    </w:div>
    <w:div w:id="17300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F1C587C4314E1D8B62C9DD2AE6FBFB"/>
        <w:category>
          <w:name w:val="Общие"/>
          <w:gallery w:val="placeholder"/>
        </w:category>
        <w:types>
          <w:type w:val="bbPlcHdr"/>
        </w:types>
        <w:behaviors>
          <w:behavior w:val="content"/>
        </w:behaviors>
        <w:guid w:val="{3073D263-5169-40C8-AE08-1E0F551DC71E}"/>
      </w:docPartPr>
      <w:docPartBody>
        <w:p w:rsidR="002703BA" w:rsidRDefault="00203C3F" w:rsidP="00203C3F">
          <w:pPr>
            <w:pStyle w:val="38F1C587C4314E1D8B62C9DD2AE6FBFB"/>
          </w:pPr>
          <w:r>
            <w:rPr>
              <w:caps/>
              <w:color w:val="FFFFFF" w:themeColor="background1"/>
              <w:sz w:val="18"/>
              <w:szCs w:val="18"/>
            </w:rPr>
            <w:t>[Название документа]</w:t>
          </w:r>
        </w:p>
      </w:docPartBody>
    </w:docPart>
    <w:docPart>
      <w:docPartPr>
        <w:name w:val="053ED22C4180436D988F4CE3B0E49C2D"/>
        <w:category>
          <w:name w:val="Общие"/>
          <w:gallery w:val="placeholder"/>
        </w:category>
        <w:types>
          <w:type w:val="bbPlcHdr"/>
        </w:types>
        <w:behaviors>
          <w:behavior w:val="content"/>
        </w:behaviors>
        <w:guid w:val="{5B0489BC-0D9B-4BA2-BDB1-3AD8602C0286}"/>
      </w:docPartPr>
      <w:docPartBody>
        <w:p w:rsidR="002703BA" w:rsidRDefault="00203C3F" w:rsidP="00203C3F">
          <w:pPr>
            <w:pStyle w:val="053ED22C4180436D988F4CE3B0E49C2D"/>
          </w:pPr>
          <w:r>
            <w:rPr>
              <w:caps/>
              <w:color w:val="FFFFFF" w:themeColor="background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3F"/>
    <w:rsid w:val="00203C3F"/>
    <w:rsid w:val="002703BA"/>
    <w:rsid w:val="00812F8F"/>
    <w:rsid w:val="00BA3046"/>
    <w:rsid w:val="00D0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F1C587C4314E1D8B62C9DD2AE6FBFB">
    <w:name w:val="38F1C587C4314E1D8B62C9DD2AE6FBFB"/>
    <w:rsid w:val="00203C3F"/>
  </w:style>
  <w:style w:type="paragraph" w:customStyle="1" w:styleId="053ED22C4180436D988F4CE3B0E49C2D">
    <w:name w:val="053ED22C4180436D988F4CE3B0E49C2D"/>
    <w:rsid w:val="00203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FAD4-75FC-4057-99D9-1A21E735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 ОДПО "УМЦ КА", тел. (495) 128-44-15</dc:title>
  <dc:creator>www.umcrka.ru</dc:creator>
  <cp:lastModifiedBy>Ерофеева Е.А.</cp:lastModifiedBy>
  <cp:revision>3</cp:revision>
  <cp:lastPrinted>2020-09-03T08:49:00Z</cp:lastPrinted>
  <dcterms:created xsi:type="dcterms:W3CDTF">2021-03-05T13:21:00Z</dcterms:created>
  <dcterms:modified xsi:type="dcterms:W3CDTF">2021-03-10T09:41:00Z</dcterms:modified>
</cp:coreProperties>
</file>