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margin" w:tblpXSpec="center" w:tblpY="-420"/>
        <w:tblW w:w="1087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7"/>
      </w:tblGrid>
      <w:tr w:rsidR="00016B02" w:rsidRPr="00016B02" w:rsidTr="006343F6">
        <w:trPr>
          <w:trHeight w:val="1138"/>
        </w:trPr>
        <w:tc>
          <w:tcPr>
            <w:tcW w:w="10877" w:type="dxa"/>
            <w:vAlign w:val="center"/>
          </w:tcPr>
          <w:tbl>
            <w:tblPr>
              <w:tblStyle w:val="a4"/>
              <w:tblW w:w="10236" w:type="dxa"/>
              <w:tblLook w:val="04A0" w:firstRow="1" w:lastRow="0" w:firstColumn="1" w:lastColumn="0" w:noHBand="0" w:noVBand="1"/>
            </w:tblPr>
            <w:tblGrid>
              <w:gridCol w:w="2445"/>
              <w:gridCol w:w="5098"/>
              <w:gridCol w:w="2693"/>
            </w:tblGrid>
            <w:tr w:rsidR="00016B02" w:rsidRPr="00016B02" w:rsidTr="00F46AA4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B02" w:rsidRPr="00016B02" w:rsidRDefault="00216BB9" w:rsidP="006343F6">
                  <w:pPr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  <w:color w:val="14435B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27166" cy="971550"/>
                        <wp:effectExtent l="0" t="0" r="635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 2а -1 цв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8758" cy="973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AA4" w:rsidRDefault="00F46AA4" w:rsidP="006343F6">
                  <w:pPr>
                    <w:pStyle w:val="a5"/>
                    <w:framePr w:hSpace="180" w:wrap="around" w:hAnchor="margin" w:xAlign="center" w:y="-4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16B02" w:rsidRPr="009250C5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</w:rPr>
                  </w:pPr>
                  <w:r w:rsidRPr="009250C5">
                    <w:rPr>
                      <w:rFonts w:ascii="Arial" w:hAnsi="Arial" w:cs="Arial"/>
                    </w:rPr>
                    <w:t>Частное учреждение</w:t>
                  </w:r>
                </w:p>
                <w:p w:rsidR="00F46AA4" w:rsidRPr="009250C5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</w:rPr>
                  </w:pPr>
                  <w:r w:rsidRPr="009250C5">
                    <w:rPr>
                      <w:rFonts w:ascii="Arial" w:hAnsi="Arial" w:cs="Arial"/>
                      <w:spacing w:val="-4"/>
                    </w:rPr>
                    <w:t>Организация дополнительного профессионального</w:t>
                  </w:r>
                  <w:r w:rsidRPr="009250C5">
                    <w:rPr>
                      <w:rFonts w:ascii="Arial" w:hAnsi="Arial" w:cs="Arial"/>
                    </w:rPr>
                    <w:t xml:space="preserve"> </w:t>
                  </w:r>
                </w:p>
                <w:p w:rsidR="00016B02" w:rsidRPr="009250C5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</w:rPr>
                  </w:pPr>
                  <w:r w:rsidRPr="009250C5">
                    <w:rPr>
                      <w:rFonts w:ascii="Arial" w:hAnsi="Arial" w:cs="Arial"/>
                    </w:rPr>
                    <w:t>образования</w:t>
                  </w:r>
                </w:p>
                <w:p w:rsidR="00016B02" w:rsidRPr="00F46AA4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  <w:color w:val="800000"/>
                      <w:sz w:val="26"/>
                      <w:szCs w:val="26"/>
                    </w:rPr>
                  </w:pPr>
                  <w:r w:rsidRPr="00F46AA4">
                    <w:rPr>
                      <w:rFonts w:ascii="Arial" w:hAnsi="Arial" w:cs="Arial"/>
                      <w:b/>
                      <w:color w:val="800000"/>
                      <w:sz w:val="26"/>
                      <w:szCs w:val="26"/>
                    </w:rPr>
                    <w:t>УЧЕБНО-МЕТОДИЧЕСКИЙ ЦЕНТР</w:t>
                  </w:r>
                </w:p>
                <w:p w:rsidR="00016B02" w:rsidRPr="00F46AA4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  <w:color w:val="800000"/>
                      <w:spacing w:val="68"/>
                      <w:sz w:val="26"/>
                      <w:szCs w:val="26"/>
                    </w:rPr>
                  </w:pPr>
                  <w:r w:rsidRPr="00F46AA4">
                    <w:rPr>
                      <w:rFonts w:ascii="Arial" w:hAnsi="Arial" w:cs="Arial"/>
                      <w:b/>
                      <w:color w:val="800000"/>
                      <w:spacing w:val="68"/>
                      <w:sz w:val="26"/>
                      <w:szCs w:val="26"/>
                    </w:rPr>
                    <w:t>КОЛЛЕГИИ АУДИТОРОВ</w:t>
                  </w:r>
                </w:p>
                <w:p w:rsidR="00016B02" w:rsidRPr="00F46AA4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spacing w:val="24"/>
                      <w:sz w:val="14"/>
                      <w:szCs w:val="14"/>
                    </w:rPr>
                  </w:pPr>
                  <w:r w:rsidRPr="00F46AA4">
                    <w:rPr>
                      <w:rFonts w:ascii="Arial" w:hAnsi="Arial" w:cs="Arial"/>
                      <w:spacing w:val="24"/>
                      <w:sz w:val="14"/>
                      <w:szCs w:val="14"/>
                    </w:rPr>
                    <w:t>Лицензия на образовательную деятельность</w:t>
                  </w:r>
                </w:p>
                <w:p w:rsidR="00016B02" w:rsidRPr="00F46AA4" w:rsidRDefault="00016B02" w:rsidP="006343F6">
                  <w:pPr>
                    <w:framePr w:hSpace="180" w:wrap="around" w:hAnchor="margin" w:xAlign="center" w:y="-420"/>
                    <w:spacing w:after="120"/>
                    <w:jc w:val="center"/>
                    <w:rPr>
                      <w:rFonts w:ascii="Arial" w:hAnsi="Arial" w:cs="Arial"/>
                      <w:b/>
                      <w:color w:val="14435B"/>
                      <w:spacing w:val="8"/>
                      <w:sz w:val="14"/>
                      <w:szCs w:val="14"/>
                    </w:rPr>
                  </w:pPr>
                  <w:r w:rsidRPr="00F46AA4">
                    <w:rPr>
                      <w:rFonts w:ascii="Arial" w:hAnsi="Arial" w:cs="Arial"/>
                      <w:spacing w:val="8"/>
                      <w:sz w:val="14"/>
                      <w:szCs w:val="14"/>
                    </w:rPr>
                    <w:t>серия 77Л01 № 0007350 рег. № 036542 от 17.09.2015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F46AA4" w:rsidRDefault="00F46AA4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115172, Москва</w:t>
                  </w: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2-й Гончарный пер. д.3, стр.1</w:t>
                  </w: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Телефон: (495)</w:t>
                  </w:r>
                  <w:r w:rsidR="00B43227">
                    <w:rPr>
                      <w:rFonts w:ascii="Arial" w:hAnsi="Arial" w:cs="Arial"/>
                      <w:sz w:val="18"/>
                    </w:rPr>
                    <w:t>128-44-15</w:t>
                  </w: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http</w:t>
                  </w:r>
                  <w:r w:rsidRPr="00016B02">
                    <w:rPr>
                      <w:rFonts w:ascii="Arial" w:hAnsi="Arial" w:cs="Arial"/>
                      <w:sz w:val="18"/>
                    </w:rPr>
                    <w:t>://</w:t>
                  </w:r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www</w:t>
                  </w:r>
                  <w:r w:rsidRPr="00016B02">
                    <w:rPr>
                      <w:rFonts w:ascii="Arial" w:hAnsi="Arial" w:cs="Arial"/>
                      <w:sz w:val="18"/>
                    </w:rPr>
                    <w:t>.</w:t>
                  </w:r>
                  <w:proofErr w:type="spellStart"/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umcrka</w:t>
                  </w:r>
                  <w:proofErr w:type="spellEnd"/>
                  <w:r w:rsidRPr="00016B02">
                    <w:rPr>
                      <w:rFonts w:ascii="Arial" w:hAnsi="Arial" w:cs="Arial"/>
                      <w:sz w:val="18"/>
                    </w:rPr>
                    <w:t>.</w:t>
                  </w:r>
                  <w:proofErr w:type="spellStart"/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ru</w:t>
                  </w:r>
                  <w:proofErr w:type="spellEnd"/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  <w:tab w:val="left" w:pos="2727"/>
                    </w:tabs>
                    <w:ind w:right="-76"/>
                    <w:jc w:val="center"/>
                    <w:rPr>
                      <w:rFonts w:ascii="Arial" w:hAnsi="Arial" w:cs="Arial"/>
                      <w:lang w:val="fr-FR"/>
                    </w:rPr>
                  </w:pPr>
                </w:p>
              </w:tc>
            </w:tr>
          </w:tbl>
          <w:p w:rsidR="00016B02" w:rsidRPr="00016B02" w:rsidRDefault="00016B02" w:rsidP="006343F6">
            <w:pPr>
              <w:jc w:val="center"/>
              <w:rPr>
                <w:rFonts w:ascii="Cambria" w:hAnsi="Cambria" w:cs="Arial"/>
                <w:bCs/>
                <w:sz w:val="28"/>
                <w:szCs w:val="28"/>
              </w:rPr>
            </w:pPr>
          </w:p>
        </w:tc>
      </w:tr>
    </w:tbl>
    <w:p w:rsidR="008B65DE" w:rsidRDefault="008B65DE" w:rsidP="00747EA7"/>
    <w:p w:rsidR="006343F6" w:rsidRDefault="006343F6" w:rsidP="006343F6"/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9923"/>
      </w:tblGrid>
      <w:tr w:rsidR="006343F6" w:rsidRPr="00A26CF4" w:rsidTr="00B0445F">
        <w:trPr>
          <w:jc w:val="center"/>
        </w:trPr>
        <w:tc>
          <w:tcPr>
            <w:tcW w:w="9923" w:type="dxa"/>
          </w:tcPr>
          <w:p w:rsidR="006343F6" w:rsidRPr="00A26CF4" w:rsidRDefault="006343F6" w:rsidP="00B0445F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r w:rsidRPr="00A26CF4">
              <w:rPr>
                <w:rFonts w:ascii="Arial" w:hAnsi="Arial" w:cs="Arial"/>
                <w:i/>
              </w:rPr>
              <w:t>Утверждаю:</w:t>
            </w:r>
          </w:p>
          <w:p w:rsidR="006343F6" w:rsidRPr="00A26CF4" w:rsidRDefault="006343F6" w:rsidP="00B0445F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</w:t>
            </w:r>
            <w:r w:rsidRPr="00A26CF4">
              <w:rPr>
                <w:rFonts w:ascii="Arial" w:hAnsi="Arial" w:cs="Arial"/>
                <w:i/>
              </w:rPr>
              <w:t>иректор ЧУ ОДПО «УМЦ КА»</w:t>
            </w:r>
          </w:p>
          <w:p w:rsidR="006343F6" w:rsidRPr="00A26CF4" w:rsidRDefault="006343F6" w:rsidP="00B0445F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proofErr w:type="spellStart"/>
            <w:r w:rsidRPr="00A26CF4">
              <w:rPr>
                <w:rFonts w:ascii="Arial" w:hAnsi="Arial" w:cs="Arial"/>
                <w:i/>
              </w:rPr>
              <w:t>А.Л.Руф</w:t>
            </w:r>
            <w:proofErr w:type="spellEnd"/>
          </w:p>
        </w:tc>
      </w:tr>
    </w:tbl>
    <w:p w:rsidR="006343F6" w:rsidRPr="00A26CF4" w:rsidRDefault="006343F6" w:rsidP="006343F6">
      <w:pPr>
        <w:keepNext/>
        <w:overflowPunct w:val="0"/>
        <w:autoSpaceDE w:val="0"/>
        <w:autoSpaceDN w:val="0"/>
        <w:adjustRightInd w:val="0"/>
        <w:ind w:right="113"/>
        <w:jc w:val="center"/>
        <w:textAlignment w:val="baseline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A26CF4">
        <w:rPr>
          <w:rFonts w:ascii="Arial" w:hAnsi="Arial" w:cs="Arial"/>
          <w:b/>
          <w:color w:val="000000"/>
          <w:sz w:val="24"/>
          <w:szCs w:val="24"/>
        </w:rPr>
        <w:t>Программа спецкурса</w:t>
      </w:r>
    </w:p>
    <w:p w:rsidR="00923DE5" w:rsidRPr="009250C5" w:rsidRDefault="00923DE5" w:rsidP="009250C5">
      <w:pPr>
        <w:jc w:val="both"/>
        <w:rPr>
          <w:rFonts w:ascii="Arial" w:hAnsi="Arial" w:cs="Arial"/>
          <w:sz w:val="24"/>
          <w:szCs w:val="24"/>
        </w:rPr>
      </w:pPr>
    </w:p>
    <w:p w:rsidR="000E2A16" w:rsidRDefault="000E2A16" w:rsidP="007F2C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2A16">
        <w:rPr>
          <w:rFonts w:ascii="Arial" w:hAnsi="Arial" w:cs="Arial"/>
          <w:b/>
          <w:bCs/>
          <w:sz w:val="24"/>
          <w:szCs w:val="24"/>
        </w:rPr>
        <w:t>6-2-29 «ПРАКТИКА ПРИМЕНЕНИЯ МСА: АУДИТОРСКИЕ ПРОЦЕДУРЫ В ОТНОШЕНИИ НЕПРЕРЫВНОСТИ ДЕЯТЕЛЬНОСТИ»</w:t>
      </w:r>
    </w:p>
    <w:p w:rsidR="007F2C37" w:rsidRPr="000E2A16" w:rsidRDefault="007F2C37" w:rsidP="007F2C3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E2A16" w:rsidRPr="000E2A16" w:rsidRDefault="000E2A16" w:rsidP="007F2C37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0E2A16">
        <w:rPr>
          <w:rFonts w:ascii="Arial" w:hAnsi="Arial" w:cs="Arial"/>
          <w:b/>
          <w:bCs/>
          <w:sz w:val="24"/>
          <w:szCs w:val="24"/>
        </w:rPr>
        <w:t>Продолжительность обучения – 8 академических часов</w:t>
      </w:r>
    </w:p>
    <w:p w:rsidR="000E2A16" w:rsidRPr="000E2A16" w:rsidRDefault="000E2A16" w:rsidP="007F2C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E2A16" w:rsidRPr="000E2A16" w:rsidRDefault="000E2A16" w:rsidP="007F2C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2A16">
        <w:rPr>
          <w:rFonts w:ascii="Arial" w:hAnsi="Arial" w:cs="Arial"/>
          <w:b/>
          <w:bCs/>
          <w:sz w:val="24"/>
          <w:szCs w:val="24"/>
        </w:rPr>
        <w:t>Цель программы - изучение требований МСА 570 и формирование навыков их применения при формировании выводов для составления аудиторского заключения.</w:t>
      </w:r>
    </w:p>
    <w:p w:rsidR="000E2A16" w:rsidRPr="000E2A16" w:rsidRDefault="000E2A16" w:rsidP="007F2C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E2A16" w:rsidRPr="000E2A16" w:rsidRDefault="000E2A16" w:rsidP="007F2C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2A16">
        <w:rPr>
          <w:rFonts w:ascii="Arial" w:hAnsi="Arial" w:cs="Arial"/>
          <w:b/>
          <w:bCs/>
          <w:sz w:val="24"/>
          <w:szCs w:val="24"/>
        </w:rPr>
        <w:t>Тема 1. Принцип непрерывности деятельности в бухгалтерском учете</w:t>
      </w:r>
    </w:p>
    <w:p w:rsidR="000E2A16" w:rsidRPr="000E2A16" w:rsidRDefault="000E2A16" w:rsidP="007F2C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E2A16" w:rsidRPr="000E2A16" w:rsidRDefault="000E2A16" w:rsidP="007F2C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2A16">
        <w:rPr>
          <w:rFonts w:ascii="Arial" w:hAnsi="Arial" w:cs="Arial"/>
          <w:b/>
          <w:bCs/>
          <w:sz w:val="24"/>
          <w:szCs w:val="24"/>
        </w:rPr>
        <w:t>Принцип непрерывности деятельности в применимых концепциях подготовки бухгалтерской (финансовой) отчетности (РСБУ, МСФО). Альтернативные принципы учета. Оценка активов и обязательств при применении принципа непрерывности деятельности и альтернативных принципов учета.</w:t>
      </w:r>
    </w:p>
    <w:p w:rsidR="000E2A16" w:rsidRPr="000E2A16" w:rsidRDefault="000E2A16" w:rsidP="007F2C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E2A16" w:rsidRPr="000E2A16" w:rsidRDefault="000E2A16" w:rsidP="007F2C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2A16">
        <w:rPr>
          <w:rFonts w:ascii="Arial" w:hAnsi="Arial" w:cs="Arial"/>
          <w:b/>
          <w:bCs/>
          <w:sz w:val="24"/>
          <w:szCs w:val="24"/>
        </w:rPr>
        <w:t>Тема 2. Оценка способности организации продолжать непрерывно свою деятельность</w:t>
      </w:r>
    </w:p>
    <w:p w:rsidR="000E2A16" w:rsidRPr="000E2A16" w:rsidRDefault="000E2A16" w:rsidP="007F2C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E2A16" w:rsidRPr="000E2A16" w:rsidRDefault="000E2A16" w:rsidP="007F2C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2A16">
        <w:rPr>
          <w:rFonts w:ascii="Arial" w:hAnsi="Arial" w:cs="Arial"/>
          <w:b/>
          <w:bCs/>
          <w:sz w:val="24"/>
          <w:szCs w:val="24"/>
        </w:rPr>
        <w:t xml:space="preserve">Ответственность руководства организации. Период оценки. Процедуры оценки рисков и дальнейшие аудиторские процедуры. Изучение планов организации лица по улучшению финансового положения после отчетной даты. Анализ условий и событий, которые могут вызвать сомнения в способности организации непрерывно продолжать свою деятельность в кризисных ситуациях, в том числе в условиях распространения </w:t>
      </w:r>
      <w:proofErr w:type="spellStart"/>
      <w:r w:rsidRPr="000E2A16">
        <w:rPr>
          <w:rFonts w:ascii="Arial" w:hAnsi="Arial" w:cs="Arial"/>
          <w:b/>
          <w:bCs/>
          <w:sz w:val="24"/>
          <w:szCs w:val="24"/>
        </w:rPr>
        <w:t>коронавирусной</w:t>
      </w:r>
      <w:proofErr w:type="spellEnd"/>
      <w:r w:rsidRPr="000E2A16">
        <w:rPr>
          <w:rFonts w:ascii="Arial" w:hAnsi="Arial" w:cs="Arial"/>
          <w:b/>
          <w:bCs/>
          <w:sz w:val="24"/>
          <w:szCs w:val="24"/>
        </w:rPr>
        <w:t xml:space="preserve"> инфекции.</w:t>
      </w:r>
    </w:p>
    <w:p w:rsidR="000E2A16" w:rsidRPr="000E2A16" w:rsidRDefault="000E2A16" w:rsidP="007F2C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E2A16" w:rsidRPr="000E2A16" w:rsidRDefault="000E2A16" w:rsidP="007F2C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2A16">
        <w:rPr>
          <w:rFonts w:ascii="Arial" w:hAnsi="Arial" w:cs="Arial"/>
          <w:b/>
          <w:bCs/>
          <w:sz w:val="24"/>
          <w:szCs w:val="24"/>
        </w:rPr>
        <w:t>Тема 3. Действия и выводы аудитора в разных ситуациях в отношении непрерывности деятельности</w:t>
      </w:r>
    </w:p>
    <w:p w:rsidR="000E2A16" w:rsidRPr="000E2A16" w:rsidRDefault="000E2A16" w:rsidP="007F2C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E2A16" w:rsidRPr="000E2A16" w:rsidRDefault="000E2A16" w:rsidP="007F2C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2A16">
        <w:rPr>
          <w:rFonts w:ascii="Arial" w:hAnsi="Arial" w:cs="Arial"/>
          <w:b/>
          <w:bCs/>
          <w:sz w:val="24"/>
          <w:szCs w:val="24"/>
        </w:rPr>
        <w:t>Значительные сомнения и существенная неопределенность в способности организации продолжать непрерывно свою деятельность: в чем различия? Примеры ситуаций,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деятельности. Оценка адекватности раскрытия информации в финансовой отчетности. Примеры аудиторских процедур в ситуациях, когда принцип непрерывности деятельности не применяется.</w:t>
      </w:r>
    </w:p>
    <w:p w:rsidR="000E2A16" w:rsidRPr="000E2A16" w:rsidRDefault="000E2A16" w:rsidP="007F2C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E2A16" w:rsidRPr="000E2A16" w:rsidRDefault="000E2A16" w:rsidP="007F2C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2A16">
        <w:rPr>
          <w:rFonts w:ascii="Arial" w:hAnsi="Arial" w:cs="Arial"/>
          <w:b/>
          <w:bCs/>
          <w:sz w:val="24"/>
          <w:szCs w:val="24"/>
        </w:rPr>
        <w:lastRenderedPageBreak/>
        <w:t xml:space="preserve">Тема 4. Раздел «Существенная неопределенность в отношении непрерывности деятельности» в аудиторском заключении. </w:t>
      </w:r>
    </w:p>
    <w:p w:rsidR="000E2A16" w:rsidRPr="000E2A16" w:rsidRDefault="000E2A16" w:rsidP="007F2C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E2A16" w:rsidRPr="000E2A16" w:rsidRDefault="000E2A16" w:rsidP="007F2C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2A16">
        <w:rPr>
          <w:rFonts w:ascii="Arial" w:hAnsi="Arial" w:cs="Arial"/>
          <w:b/>
          <w:bCs/>
          <w:sz w:val="24"/>
          <w:szCs w:val="24"/>
        </w:rPr>
        <w:t>Условия включения раздела в аудиторское заключение. Обязательные элементы раздела. Расположение раздела. Типичные ошибки. Примеры из практики.</w:t>
      </w:r>
    </w:p>
    <w:p w:rsidR="000E2A16" w:rsidRPr="000E2A16" w:rsidRDefault="000E2A16" w:rsidP="007F2C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E2A16" w:rsidRPr="000E2A16" w:rsidRDefault="000E2A16" w:rsidP="007F2C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2A16">
        <w:rPr>
          <w:rFonts w:ascii="Arial" w:hAnsi="Arial" w:cs="Arial"/>
          <w:b/>
          <w:bCs/>
          <w:sz w:val="24"/>
          <w:szCs w:val="24"/>
        </w:rPr>
        <w:t>Результат обучения</w:t>
      </w:r>
    </w:p>
    <w:p w:rsidR="000E2A16" w:rsidRPr="000E2A16" w:rsidRDefault="000E2A16" w:rsidP="007F2C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E2A16" w:rsidRPr="000E2A16" w:rsidRDefault="000E2A16" w:rsidP="007F2C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2A16">
        <w:rPr>
          <w:rFonts w:ascii="Arial" w:hAnsi="Arial" w:cs="Arial"/>
          <w:b/>
          <w:bCs/>
          <w:sz w:val="24"/>
          <w:szCs w:val="24"/>
        </w:rPr>
        <w:t>Глубокое и детальное понимание норм МСА 570 «Непрерывность деятельности», его применения при осуществлении аудита аудиторскими организациями (аудиторами).</w:t>
      </w:r>
    </w:p>
    <w:bookmarkEnd w:id="0"/>
    <w:p w:rsidR="009E22CE" w:rsidRDefault="009E22CE" w:rsidP="007F2C37">
      <w:pPr>
        <w:jc w:val="both"/>
      </w:pPr>
    </w:p>
    <w:sectPr w:rsidR="009E22CE" w:rsidSect="009250C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B14" w:rsidRDefault="00877B14" w:rsidP="00747EA7">
      <w:r>
        <w:separator/>
      </w:r>
    </w:p>
  </w:endnote>
  <w:endnote w:type="continuationSeparator" w:id="0">
    <w:p w:rsidR="00877B14" w:rsidRDefault="00877B14" w:rsidP="0074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77"/>
      <w:gridCol w:w="4678"/>
    </w:tblGrid>
    <w:tr w:rsidR="009250C5">
      <w:tc>
        <w:tcPr>
          <w:tcW w:w="2500" w:type="pct"/>
          <w:shd w:val="clear" w:color="auto" w:fill="4472C4" w:themeFill="accent1"/>
          <w:vAlign w:val="center"/>
        </w:tcPr>
        <w:p w:rsidR="009250C5" w:rsidRDefault="00877B14">
          <w:pPr>
            <w:pStyle w:val="a7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38F1C587C4314E1D8B62C9DD2AE6FBF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250C5" w:rsidRPr="009250C5">
                <w:rPr>
                  <w:caps/>
                  <w:color w:val="FFFFFF" w:themeColor="background1"/>
                  <w:sz w:val="18"/>
                  <w:szCs w:val="18"/>
                </w:rPr>
                <w:t>ЧУ ОДПО "УМЦ КА", тел. (495) 128-44-15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053ED22C4180436D988F4CE3B0E49C2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250C5" w:rsidRDefault="009250C5">
              <w:pPr>
                <w:pStyle w:val="a7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9250C5">
                <w:rPr>
                  <w:caps/>
                  <w:color w:val="FFFFFF" w:themeColor="background1"/>
                  <w:sz w:val="18"/>
                  <w:szCs w:val="18"/>
                </w:rPr>
                <w:t>www.umcrka.ru</w:t>
              </w:r>
            </w:p>
          </w:sdtContent>
        </w:sdt>
      </w:tc>
    </w:tr>
  </w:tbl>
  <w:p w:rsidR="00747EA7" w:rsidRDefault="00747E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B14" w:rsidRDefault="00877B14" w:rsidP="00747EA7">
      <w:r>
        <w:separator/>
      </w:r>
    </w:p>
  </w:footnote>
  <w:footnote w:type="continuationSeparator" w:id="0">
    <w:p w:rsidR="00877B14" w:rsidRDefault="00877B14" w:rsidP="0074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D41"/>
    <w:multiLevelType w:val="hybridMultilevel"/>
    <w:tmpl w:val="92B4A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BE1"/>
    <w:multiLevelType w:val="hybridMultilevel"/>
    <w:tmpl w:val="CAA6E65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5155"/>
    <w:multiLevelType w:val="hybridMultilevel"/>
    <w:tmpl w:val="D130B74C"/>
    <w:lvl w:ilvl="0" w:tplc="6102ED1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1A4"/>
    <w:multiLevelType w:val="hybridMultilevel"/>
    <w:tmpl w:val="39A869F8"/>
    <w:lvl w:ilvl="0" w:tplc="D25A3C2E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7B1B00"/>
    <w:multiLevelType w:val="hybridMultilevel"/>
    <w:tmpl w:val="26CA9FAE"/>
    <w:lvl w:ilvl="0" w:tplc="23F4C6F4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92582"/>
    <w:multiLevelType w:val="hybridMultilevel"/>
    <w:tmpl w:val="4DE81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529F"/>
    <w:multiLevelType w:val="multilevel"/>
    <w:tmpl w:val="AF028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152E441C"/>
    <w:multiLevelType w:val="multilevel"/>
    <w:tmpl w:val="DC623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70974B7"/>
    <w:multiLevelType w:val="multilevel"/>
    <w:tmpl w:val="CFFA1E6A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7CE754E"/>
    <w:multiLevelType w:val="multilevel"/>
    <w:tmpl w:val="1812D88A"/>
    <w:lvl w:ilvl="0">
      <w:start w:val="1"/>
      <w:numFmt w:val="decimal"/>
      <w:lvlText w:val="%1)"/>
      <w:lvlJc w:val="left"/>
      <w:pPr>
        <w:ind w:left="408" w:hanging="408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0" w15:restartNumberingAfterBreak="0">
    <w:nsid w:val="1A403E0D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C0E68"/>
    <w:multiLevelType w:val="multilevel"/>
    <w:tmpl w:val="A3B00A0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B77E1D"/>
    <w:multiLevelType w:val="multilevel"/>
    <w:tmpl w:val="E20A144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3" w15:restartNumberingAfterBreak="0">
    <w:nsid w:val="23E71417"/>
    <w:multiLevelType w:val="hybridMultilevel"/>
    <w:tmpl w:val="567A1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40016"/>
    <w:multiLevelType w:val="multilevel"/>
    <w:tmpl w:val="161ED2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5" w15:restartNumberingAfterBreak="0">
    <w:nsid w:val="292D6599"/>
    <w:multiLevelType w:val="multilevel"/>
    <w:tmpl w:val="AF028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2D0D080B"/>
    <w:multiLevelType w:val="multilevel"/>
    <w:tmpl w:val="985203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7" w15:restartNumberingAfterBreak="0">
    <w:nsid w:val="2DAC5EDE"/>
    <w:multiLevelType w:val="hybridMultilevel"/>
    <w:tmpl w:val="46DAA8E4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13E38"/>
    <w:multiLevelType w:val="multilevel"/>
    <w:tmpl w:val="AF028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36087DF8"/>
    <w:multiLevelType w:val="hybridMultilevel"/>
    <w:tmpl w:val="D130B74C"/>
    <w:lvl w:ilvl="0" w:tplc="6102ED1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E734D"/>
    <w:multiLevelType w:val="multilevel"/>
    <w:tmpl w:val="4AFC2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21" w15:restartNumberingAfterBreak="0">
    <w:nsid w:val="4496692F"/>
    <w:multiLevelType w:val="multilevel"/>
    <w:tmpl w:val="3E2802F6"/>
    <w:lvl w:ilvl="0">
      <w:start w:val="5"/>
      <w:numFmt w:val="decimal"/>
      <w:lvlText w:val="%1."/>
      <w:lvlJc w:val="left"/>
      <w:pPr>
        <w:ind w:left="408" w:hanging="408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color w:val="000000"/>
      </w:rPr>
    </w:lvl>
  </w:abstractNum>
  <w:abstractNum w:abstractNumId="22" w15:restartNumberingAfterBreak="0">
    <w:nsid w:val="4FDF702A"/>
    <w:multiLevelType w:val="multilevel"/>
    <w:tmpl w:val="A8E4B0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23" w15:restartNumberingAfterBreak="0">
    <w:nsid w:val="681E1066"/>
    <w:multiLevelType w:val="hybridMultilevel"/>
    <w:tmpl w:val="03A42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C0BCF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D51FC"/>
    <w:multiLevelType w:val="hybridMultilevel"/>
    <w:tmpl w:val="B906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C27BA"/>
    <w:multiLevelType w:val="hybridMultilevel"/>
    <w:tmpl w:val="D130B74C"/>
    <w:lvl w:ilvl="0" w:tplc="6102ED1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71F30"/>
    <w:multiLevelType w:val="multilevel"/>
    <w:tmpl w:val="7868A0C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34157E3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F3ED6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F3F05"/>
    <w:multiLevelType w:val="hybridMultilevel"/>
    <w:tmpl w:val="A5425A68"/>
    <w:lvl w:ilvl="0" w:tplc="C804B878">
      <w:start w:val="1"/>
      <w:numFmt w:val="bullet"/>
      <w:lvlText w:val=""/>
      <w:lvlJc w:val="left"/>
      <w:pPr>
        <w:ind w:left="1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31" w15:restartNumberingAfterBreak="0">
    <w:nsid w:val="7F326695"/>
    <w:multiLevelType w:val="multilevel"/>
    <w:tmpl w:val="3E2802F6"/>
    <w:lvl w:ilvl="0">
      <w:start w:val="5"/>
      <w:numFmt w:val="decimal"/>
      <w:lvlText w:val="%1."/>
      <w:lvlJc w:val="left"/>
      <w:pPr>
        <w:ind w:left="408" w:hanging="408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color w:val="000000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7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29"/>
  </w:num>
  <w:num w:numId="10">
    <w:abstractNumId w:val="19"/>
  </w:num>
  <w:num w:numId="11">
    <w:abstractNumId w:val="2"/>
  </w:num>
  <w:num w:numId="12">
    <w:abstractNumId w:val="28"/>
  </w:num>
  <w:num w:numId="13">
    <w:abstractNumId w:val="24"/>
  </w:num>
  <w:num w:numId="14">
    <w:abstractNumId w:val="11"/>
  </w:num>
  <w:num w:numId="15">
    <w:abstractNumId w:val="1"/>
  </w:num>
  <w:num w:numId="16">
    <w:abstractNumId w:val="31"/>
  </w:num>
  <w:num w:numId="17">
    <w:abstractNumId w:val="21"/>
  </w:num>
  <w:num w:numId="18">
    <w:abstractNumId w:val="12"/>
  </w:num>
  <w:num w:numId="19">
    <w:abstractNumId w:val="9"/>
  </w:num>
  <w:num w:numId="20">
    <w:abstractNumId w:val="17"/>
  </w:num>
  <w:num w:numId="21">
    <w:abstractNumId w:val="8"/>
  </w:num>
  <w:num w:numId="22">
    <w:abstractNumId w:val="6"/>
  </w:num>
  <w:num w:numId="23">
    <w:abstractNumId w:val="14"/>
  </w:num>
  <w:num w:numId="24">
    <w:abstractNumId w:val="22"/>
  </w:num>
  <w:num w:numId="25">
    <w:abstractNumId w:val="20"/>
  </w:num>
  <w:num w:numId="26">
    <w:abstractNumId w:val="15"/>
  </w:num>
  <w:num w:numId="27">
    <w:abstractNumId w:val="16"/>
  </w:num>
  <w:num w:numId="28">
    <w:abstractNumId w:val="30"/>
  </w:num>
  <w:num w:numId="29">
    <w:abstractNumId w:val="25"/>
  </w:num>
  <w:num w:numId="30">
    <w:abstractNumId w:val="18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DE"/>
    <w:rsid w:val="00016B02"/>
    <w:rsid w:val="00090FF8"/>
    <w:rsid w:val="00092C63"/>
    <w:rsid w:val="000C1642"/>
    <w:rsid w:val="000E2A16"/>
    <w:rsid w:val="000F0BB0"/>
    <w:rsid w:val="000F3B2B"/>
    <w:rsid w:val="001324CD"/>
    <w:rsid w:val="001424D3"/>
    <w:rsid w:val="00196BAD"/>
    <w:rsid w:val="001C1EB4"/>
    <w:rsid w:val="001E27BF"/>
    <w:rsid w:val="00216BB9"/>
    <w:rsid w:val="002825FE"/>
    <w:rsid w:val="00295B32"/>
    <w:rsid w:val="00295D7B"/>
    <w:rsid w:val="002B3790"/>
    <w:rsid w:val="002D2892"/>
    <w:rsid w:val="00332921"/>
    <w:rsid w:val="003426B7"/>
    <w:rsid w:val="00353A8E"/>
    <w:rsid w:val="00360228"/>
    <w:rsid w:val="00386C29"/>
    <w:rsid w:val="003E4BA2"/>
    <w:rsid w:val="003F012B"/>
    <w:rsid w:val="0040110F"/>
    <w:rsid w:val="00430F50"/>
    <w:rsid w:val="00450E54"/>
    <w:rsid w:val="00452BA6"/>
    <w:rsid w:val="00453FC5"/>
    <w:rsid w:val="0049322D"/>
    <w:rsid w:val="00496DDF"/>
    <w:rsid w:val="004B0FCC"/>
    <w:rsid w:val="004C4A81"/>
    <w:rsid w:val="004E2501"/>
    <w:rsid w:val="00505186"/>
    <w:rsid w:val="005053D1"/>
    <w:rsid w:val="005323AE"/>
    <w:rsid w:val="005530A7"/>
    <w:rsid w:val="00566EDB"/>
    <w:rsid w:val="00572534"/>
    <w:rsid w:val="005942EF"/>
    <w:rsid w:val="005D0843"/>
    <w:rsid w:val="005D5A99"/>
    <w:rsid w:val="005F71E5"/>
    <w:rsid w:val="006011B8"/>
    <w:rsid w:val="006024B7"/>
    <w:rsid w:val="00610F29"/>
    <w:rsid w:val="006343F6"/>
    <w:rsid w:val="00640B79"/>
    <w:rsid w:val="00684BD9"/>
    <w:rsid w:val="00697E57"/>
    <w:rsid w:val="00707211"/>
    <w:rsid w:val="007169B1"/>
    <w:rsid w:val="00736B30"/>
    <w:rsid w:val="0073726E"/>
    <w:rsid w:val="00740629"/>
    <w:rsid w:val="00747EA7"/>
    <w:rsid w:val="00760360"/>
    <w:rsid w:val="007A11CC"/>
    <w:rsid w:val="007D6E64"/>
    <w:rsid w:val="007E5F4C"/>
    <w:rsid w:val="007F2C37"/>
    <w:rsid w:val="00806B5B"/>
    <w:rsid w:val="00833C2A"/>
    <w:rsid w:val="0084308A"/>
    <w:rsid w:val="00851B88"/>
    <w:rsid w:val="00870D66"/>
    <w:rsid w:val="00877B14"/>
    <w:rsid w:val="00886A42"/>
    <w:rsid w:val="008A7E85"/>
    <w:rsid w:val="008B65DE"/>
    <w:rsid w:val="008D5DB2"/>
    <w:rsid w:val="008E73EB"/>
    <w:rsid w:val="008F0A39"/>
    <w:rsid w:val="00920C01"/>
    <w:rsid w:val="00923DE5"/>
    <w:rsid w:val="009250C5"/>
    <w:rsid w:val="009451F9"/>
    <w:rsid w:val="00971E79"/>
    <w:rsid w:val="009958FC"/>
    <w:rsid w:val="009B3ECD"/>
    <w:rsid w:val="009B3FFD"/>
    <w:rsid w:val="009D3F22"/>
    <w:rsid w:val="009E22CE"/>
    <w:rsid w:val="009E6F13"/>
    <w:rsid w:val="00A45DE4"/>
    <w:rsid w:val="00AB2729"/>
    <w:rsid w:val="00AC0D19"/>
    <w:rsid w:val="00B338DA"/>
    <w:rsid w:val="00B43227"/>
    <w:rsid w:val="00B8350C"/>
    <w:rsid w:val="00BB60E4"/>
    <w:rsid w:val="00C1407D"/>
    <w:rsid w:val="00C4301C"/>
    <w:rsid w:val="00CB5CAD"/>
    <w:rsid w:val="00D00A86"/>
    <w:rsid w:val="00D45478"/>
    <w:rsid w:val="00D50427"/>
    <w:rsid w:val="00D53C97"/>
    <w:rsid w:val="00D53F5B"/>
    <w:rsid w:val="00DE74BD"/>
    <w:rsid w:val="00DF25B6"/>
    <w:rsid w:val="00E0037F"/>
    <w:rsid w:val="00E03963"/>
    <w:rsid w:val="00E36BDA"/>
    <w:rsid w:val="00E41222"/>
    <w:rsid w:val="00E43911"/>
    <w:rsid w:val="00E85E05"/>
    <w:rsid w:val="00F00F40"/>
    <w:rsid w:val="00F1219F"/>
    <w:rsid w:val="00F23E9F"/>
    <w:rsid w:val="00F46AA4"/>
    <w:rsid w:val="00F55E12"/>
    <w:rsid w:val="00F825F5"/>
    <w:rsid w:val="00F87D89"/>
    <w:rsid w:val="00F946CF"/>
    <w:rsid w:val="00F948D2"/>
    <w:rsid w:val="00FA68DB"/>
    <w:rsid w:val="00FC6869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FC9C"/>
  <w15:docId w15:val="{86823149-651D-42D2-A8D7-A78A5C39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5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"/>
    <w:basedOn w:val="a"/>
    <w:next w:val="2"/>
    <w:autoRedefine/>
    <w:rsid w:val="008B65DE"/>
    <w:pPr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B65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B65D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65DE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8B6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5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_"/>
    <w:link w:val="210"/>
    <w:rsid w:val="00747EA7"/>
    <w:rPr>
      <w:rFonts w:ascii="Arial" w:hAnsi="Arial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747EA7"/>
    <w:pPr>
      <w:widowControl w:val="0"/>
      <w:shd w:val="clear" w:color="auto" w:fill="FFFFFF"/>
      <w:spacing w:after="300" w:line="274" w:lineRule="exact"/>
      <w:ind w:hanging="760"/>
      <w:jc w:val="center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747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47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47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7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40110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40110F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ru-RU"/>
    </w:rPr>
  </w:style>
  <w:style w:type="character" w:styleId="ab">
    <w:name w:val="Subtle Reference"/>
    <w:basedOn w:val="a0"/>
    <w:uiPriority w:val="31"/>
    <w:qFormat/>
    <w:rsid w:val="008F0A39"/>
    <w:rPr>
      <w:smallCaps/>
      <w:color w:val="5A5A5A" w:themeColor="text1" w:themeTint="A5"/>
    </w:rPr>
  </w:style>
  <w:style w:type="paragraph" w:styleId="ac">
    <w:name w:val="List Paragraph"/>
    <w:basedOn w:val="a"/>
    <w:uiPriority w:val="34"/>
    <w:qFormat/>
    <w:rsid w:val="001E27B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16B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6B0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rsid w:val="007D6E64"/>
    <w:pPr>
      <w:spacing w:before="100" w:beforeAutospacing="1" w:after="100" w:afterAutospacing="1"/>
    </w:pPr>
    <w:rPr>
      <w:sz w:val="24"/>
      <w:szCs w:val="24"/>
    </w:rPr>
  </w:style>
  <w:style w:type="character" w:customStyle="1" w:styleId="8">
    <w:name w:val="Основной текст (8)_"/>
    <w:basedOn w:val="a0"/>
    <w:link w:val="80"/>
    <w:rsid w:val="007D6E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6E64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7D6E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D6E64"/>
    <w:pPr>
      <w:widowControl w:val="0"/>
      <w:shd w:val="clear" w:color="auto" w:fill="FFFFFF"/>
      <w:spacing w:line="0" w:lineRule="atLeast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F1C587C4314E1D8B62C9DD2AE6FB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73D263-5169-40C8-AE08-1E0F551DC71E}"/>
      </w:docPartPr>
      <w:docPartBody>
        <w:p w:rsidR="002703BA" w:rsidRDefault="00203C3F" w:rsidP="00203C3F">
          <w:pPr>
            <w:pStyle w:val="38F1C587C4314E1D8B62C9DD2AE6FBFB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053ED22C4180436D988F4CE3B0E49C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0489BC-0D9B-4BA2-BDB1-3AD8602C0286}"/>
      </w:docPartPr>
      <w:docPartBody>
        <w:p w:rsidR="002703BA" w:rsidRDefault="00203C3F" w:rsidP="00203C3F">
          <w:pPr>
            <w:pStyle w:val="053ED22C4180436D988F4CE3B0E49C2D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3F"/>
    <w:rsid w:val="00203C3F"/>
    <w:rsid w:val="002703BA"/>
    <w:rsid w:val="005452D2"/>
    <w:rsid w:val="00812F8F"/>
    <w:rsid w:val="00B655D7"/>
    <w:rsid w:val="00BA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F1C587C4314E1D8B62C9DD2AE6FBFB">
    <w:name w:val="38F1C587C4314E1D8B62C9DD2AE6FBFB"/>
    <w:rsid w:val="00203C3F"/>
  </w:style>
  <w:style w:type="paragraph" w:customStyle="1" w:styleId="053ED22C4180436D988F4CE3B0E49C2D">
    <w:name w:val="053ED22C4180436D988F4CE3B0E49C2D"/>
    <w:rsid w:val="00203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D401-54F5-4A92-AFFA-04D1A301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 ОДПО "УМЦ КА", тел. (495) 128-44-15</dc:title>
  <dc:creator>www.umcrka.ru</dc:creator>
  <cp:lastModifiedBy>Ерофеева Е.А.</cp:lastModifiedBy>
  <cp:revision>3</cp:revision>
  <cp:lastPrinted>2020-09-03T08:49:00Z</cp:lastPrinted>
  <dcterms:created xsi:type="dcterms:W3CDTF">2021-03-05T13:24:00Z</dcterms:created>
  <dcterms:modified xsi:type="dcterms:W3CDTF">2021-03-10T09:39:00Z</dcterms:modified>
</cp:coreProperties>
</file>