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4"/>
        <w:tblW w:w="1087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7F49CC" w:rsidRPr="00016B02" w:rsidTr="009375DF">
        <w:trPr>
          <w:trHeight w:val="1138"/>
        </w:trPr>
        <w:tc>
          <w:tcPr>
            <w:tcW w:w="10877" w:type="dxa"/>
            <w:vAlign w:val="center"/>
          </w:tcPr>
          <w:p w:rsidR="007F49CC" w:rsidRPr="00016B02" w:rsidRDefault="007F49CC" w:rsidP="009375DF">
            <w:pPr>
              <w:jc w:val="center"/>
              <w:rPr>
                <w:rFonts w:ascii="Arial" w:hAnsi="Arial" w:cs="Arial"/>
                <w:b/>
                <w:color w:val="14435B"/>
                <w:sz w:val="18"/>
                <w:szCs w:val="18"/>
              </w:rPr>
            </w:pPr>
          </w:p>
          <w:tbl>
            <w:tblPr>
              <w:tblStyle w:val="af4"/>
              <w:tblW w:w="10235" w:type="dxa"/>
              <w:tblLook w:val="04A0" w:firstRow="1" w:lastRow="0" w:firstColumn="1" w:lastColumn="0" w:noHBand="0" w:noVBand="1"/>
            </w:tblPr>
            <w:tblGrid>
              <w:gridCol w:w="2444"/>
              <w:gridCol w:w="5098"/>
              <w:gridCol w:w="2693"/>
            </w:tblGrid>
            <w:tr w:rsidR="007F49CC" w:rsidRPr="00016B02" w:rsidTr="009375DF">
              <w:tc>
                <w:tcPr>
                  <w:tcW w:w="2444" w:type="dxa"/>
                  <w:tcBorders>
                    <w:top w:val="nil"/>
                    <w:left w:val="nil"/>
                    <w:bottom w:val="nil"/>
                    <w:right w:val="nil"/>
                  </w:tcBorders>
                </w:tcPr>
                <w:p w:rsidR="007F49CC" w:rsidRPr="00016B02" w:rsidRDefault="007F49CC" w:rsidP="009375DF">
                  <w:pPr>
                    <w:jc w:val="center"/>
                    <w:rPr>
                      <w:rFonts w:ascii="Arial" w:hAnsi="Arial" w:cs="Arial"/>
                      <w:b/>
                      <w:color w:val="14435B"/>
                      <w:sz w:val="18"/>
                      <w:szCs w:val="18"/>
                    </w:rPr>
                  </w:pPr>
                  <w:r w:rsidRPr="00016B02">
                    <w:rPr>
                      <w:rFonts w:ascii="Arial" w:hAnsi="Arial" w:cs="Arial"/>
                      <w:b/>
                      <w:noProof/>
                      <w:color w:val="14435B"/>
                      <w:sz w:val="18"/>
                      <w:szCs w:val="18"/>
                    </w:rPr>
                    <w:drawing>
                      <wp:anchor distT="0" distB="0" distL="114300" distR="114300" simplePos="0" relativeHeight="251658240" behindDoc="1" locked="0" layoutInCell="1" allowOverlap="1">
                        <wp:simplePos x="0" y="0"/>
                        <wp:positionH relativeFrom="column">
                          <wp:posOffset>-115207</wp:posOffset>
                        </wp:positionH>
                        <wp:positionV relativeFrom="paragraph">
                          <wp:posOffset>1724</wp:posOffset>
                        </wp:positionV>
                        <wp:extent cx="1721991" cy="9405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УМЦ КА- блан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945" cy="943231"/>
                                </a:xfrm>
                                <a:prstGeom prst="rect">
                                  <a:avLst/>
                                </a:prstGeom>
                              </pic:spPr>
                            </pic:pic>
                          </a:graphicData>
                        </a:graphic>
                      </wp:anchor>
                    </w:drawing>
                  </w:r>
                </w:p>
              </w:tc>
              <w:tc>
                <w:tcPr>
                  <w:tcW w:w="5098" w:type="dxa"/>
                  <w:tcBorders>
                    <w:top w:val="nil"/>
                    <w:left w:val="nil"/>
                    <w:bottom w:val="nil"/>
                    <w:right w:val="nil"/>
                  </w:tcBorders>
                </w:tcPr>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Частное учреждение</w:t>
                  </w:r>
                </w:p>
                <w:p w:rsidR="007F49CC" w:rsidRPr="00016B02" w:rsidRDefault="007F49CC" w:rsidP="009375DF">
                  <w:pPr>
                    <w:pStyle w:val="af5"/>
                    <w:jc w:val="center"/>
                    <w:rPr>
                      <w:rFonts w:ascii="Arial" w:hAnsi="Arial" w:cs="Arial"/>
                      <w:b/>
                      <w:sz w:val="24"/>
                    </w:rPr>
                  </w:pPr>
                  <w:r w:rsidRPr="00016B02">
                    <w:rPr>
                      <w:rFonts w:ascii="Arial" w:hAnsi="Arial" w:cs="Arial"/>
                      <w:sz w:val="18"/>
                      <w:szCs w:val="18"/>
                    </w:rPr>
                    <w:t>Организация дополнительного профессионального образования</w:t>
                  </w:r>
                </w:p>
                <w:p w:rsidR="007F49CC" w:rsidRPr="00016B02" w:rsidRDefault="007F49CC" w:rsidP="009375DF">
                  <w:pPr>
                    <w:pStyle w:val="af5"/>
                    <w:jc w:val="center"/>
                    <w:rPr>
                      <w:rFonts w:ascii="Arial" w:hAnsi="Arial" w:cs="Arial"/>
                      <w:b/>
                      <w:sz w:val="24"/>
                    </w:rPr>
                  </w:pPr>
                  <w:r w:rsidRPr="00016B02">
                    <w:rPr>
                      <w:rFonts w:ascii="Arial" w:hAnsi="Arial" w:cs="Arial"/>
                      <w:b/>
                      <w:sz w:val="24"/>
                    </w:rPr>
                    <w:t>УЧЕБНО-МЕТОДИЧЕСКИЙ ЦЕНТР</w:t>
                  </w:r>
                </w:p>
                <w:p w:rsidR="007F49CC" w:rsidRPr="00016B02" w:rsidRDefault="007F49CC" w:rsidP="009375DF">
                  <w:pPr>
                    <w:pStyle w:val="af5"/>
                    <w:jc w:val="center"/>
                    <w:rPr>
                      <w:rFonts w:ascii="Arial" w:hAnsi="Arial" w:cs="Arial"/>
                      <w:b/>
                    </w:rPr>
                  </w:pPr>
                  <w:r w:rsidRPr="00016B02">
                    <w:rPr>
                      <w:rFonts w:ascii="Arial" w:hAnsi="Arial" w:cs="Arial"/>
                      <w:b/>
                      <w:sz w:val="24"/>
                    </w:rPr>
                    <w:t>КОЛЛЕГИИ АУДИТОРОВ</w:t>
                  </w:r>
                </w:p>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Лицензия на образовательную деятельность</w:t>
                  </w:r>
                </w:p>
                <w:p w:rsidR="007F49CC" w:rsidRPr="00016B02" w:rsidRDefault="007F49CC" w:rsidP="009375DF">
                  <w:pPr>
                    <w:spacing w:after="120"/>
                    <w:jc w:val="center"/>
                    <w:rPr>
                      <w:rFonts w:ascii="Arial" w:hAnsi="Arial" w:cs="Arial"/>
                      <w:b/>
                      <w:color w:val="14435B"/>
                      <w:sz w:val="18"/>
                      <w:szCs w:val="18"/>
                    </w:rPr>
                  </w:pPr>
                  <w:r w:rsidRPr="00016B02">
                    <w:rPr>
                      <w:rFonts w:ascii="Arial" w:hAnsi="Arial" w:cs="Arial"/>
                      <w:sz w:val="18"/>
                      <w:szCs w:val="18"/>
                    </w:rPr>
                    <w:t>серия 77Л01 № 0007350 рег. № 036542 от 17.09.2015</w:t>
                  </w:r>
                </w:p>
              </w:tc>
              <w:tc>
                <w:tcPr>
                  <w:tcW w:w="2693" w:type="dxa"/>
                  <w:tcBorders>
                    <w:top w:val="nil"/>
                    <w:left w:val="nil"/>
                    <w:bottom w:val="nil"/>
                    <w:right w:val="nil"/>
                  </w:tcBorders>
                </w:tcPr>
                <w:p w:rsidR="007F49CC" w:rsidRPr="00016B02" w:rsidRDefault="007F49CC" w:rsidP="009375DF">
                  <w:pPr>
                    <w:pStyle w:val="af5"/>
                    <w:ind w:right="-76"/>
                    <w:jc w:val="center"/>
                    <w:rPr>
                      <w:rFonts w:ascii="Arial" w:hAnsi="Arial" w:cs="Arial"/>
                      <w:sz w:val="18"/>
                    </w:rPr>
                  </w:pPr>
                </w:p>
                <w:p w:rsidR="007F49CC" w:rsidRPr="00016B02" w:rsidRDefault="007F49CC" w:rsidP="009375DF">
                  <w:pPr>
                    <w:pStyle w:val="af5"/>
                    <w:ind w:right="-76"/>
                    <w:jc w:val="center"/>
                    <w:rPr>
                      <w:rFonts w:ascii="Arial" w:hAnsi="Arial" w:cs="Arial"/>
                      <w:sz w:val="18"/>
                    </w:rPr>
                  </w:pPr>
                  <w:r w:rsidRPr="00016B02">
                    <w:rPr>
                      <w:rFonts w:ascii="Arial" w:hAnsi="Arial" w:cs="Arial"/>
                      <w:sz w:val="18"/>
                    </w:rPr>
                    <w:t>115172, Москва</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2-й Гончарный пер. д.3, стр.1</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Телефон: (495)</w:t>
                  </w:r>
                  <w:r w:rsidR="00977A03">
                    <w:t xml:space="preserve"> </w:t>
                  </w:r>
                  <w:r w:rsidR="00977A03" w:rsidRPr="00977A03">
                    <w:rPr>
                      <w:rFonts w:ascii="Arial" w:hAnsi="Arial" w:cs="Arial"/>
                      <w:sz w:val="18"/>
                    </w:rPr>
                    <w:t>128-44-15</w:t>
                  </w:r>
                </w:p>
                <w:p w:rsidR="007F49CC" w:rsidRPr="00016B02" w:rsidRDefault="007F49CC" w:rsidP="009375DF">
                  <w:pPr>
                    <w:pStyle w:val="af5"/>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r w:rsidRPr="00016B02">
                    <w:rPr>
                      <w:rFonts w:ascii="Arial" w:hAnsi="Arial" w:cs="Arial"/>
                      <w:sz w:val="18"/>
                      <w:lang w:val="en-US"/>
                    </w:rPr>
                    <w:t>umcrka</w:t>
                  </w:r>
                  <w:r w:rsidRPr="00016B02">
                    <w:rPr>
                      <w:rFonts w:ascii="Arial" w:hAnsi="Arial" w:cs="Arial"/>
                      <w:sz w:val="18"/>
                    </w:rPr>
                    <w:t>.</w:t>
                  </w:r>
                  <w:r w:rsidRPr="00016B02">
                    <w:rPr>
                      <w:rFonts w:ascii="Arial" w:hAnsi="Arial" w:cs="Arial"/>
                      <w:sz w:val="18"/>
                      <w:lang w:val="en-US"/>
                    </w:rPr>
                    <w:t>ru</w:t>
                  </w:r>
                </w:p>
                <w:p w:rsidR="007F49CC" w:rsidRPr="00016B02" w:rsidRDefault="007F49CC" w:rsidP="009375DF">
                  <w:pPr>
                    <w:pStyle w:val="af5"/>
                    <w:tabs>
                      <w:tab w:val="left" w:pos="2727"/>
                    </w:tabs>
                    <w:ind w:right="-76"/>
                    <w:jc w:val="center"/>
                    <w:rPr>
                      <w:rFonts w:ascii="Arial" w:hAnsi="Arial" w:cs="Arial"/>
                      <w:lang w:val="fr-FR"/>
                    </w:rPr>
                  </w:pPr>
                </w:p>
              </w:tc>
            </w:tr>
          </w:tbl>
          <w:p w:rsidR="007F49CC" w:rsidRPr="00016B02" w:rsidRDefault="007F49CC" w:rsidP="009375DF">
            <w:pPr>
              <w:jc w:val="center"/>
              <w:rPr>
                <w:rFonts w:ascii="Cambria" w:hAnsi="Cambria" w:cs="Arial"/>
                <w:bCs/>
                <w:sz w:val="28"/>
                <w:szCs w:val="28"/>
              </w:rPr>
            </w:pPr>
          </w:p>
        </w:tc>
      </w:tr>
    </w:tbl>
    <w:p w:rsidR="007F49CC" w:rsidRDefault="007F49CC" w:rsidP="007F49CC"/>
    <w:tbl>
      <w:tblPr>
        <w:tblW w:w="9923" w:type="dxa"/>
        <w:jc w:val="center"/>
        <w:tblLayout w:type="fixed"/>
        <w:tblLook w:val="04A0" w:firstRow="1" w:lastRow="0" w:firstColumn="1" w:lastColumn="0" w:noHBand="0" w:noVBand="1"/>
      </w:tblPr>
      <w:tblGrid>
        <w:gridCol w:w="9923"/>
      </w:tblGrid>
      <w:tr w:rsidR="00A26CF4" w:rsidRPr="00A26CF4" w:rsidTr="00A26CF4">
        <w:trPr>
          <w:jc w:val="center"/>
        </w:trPr>
        <w:tc>
          <w:tcPr>
            <w:tcW w:w="9923" w:type="dxa"/>
          </w:tcPr>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директор ЧУ ОДПО «УМЦ КА»</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А.Л.Руф</w:t>
            </w:r>
          </w:p>
        </w:tc>
      </w:tr>
    </w:tbl>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977A03" w:rsidRDefault="00977A03"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977A03" w:rsidRPr="00A26CF4" w:rsidRDefault="00977A03"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r>
        <w:rPr>
          <w:rFonts w:ascii="Arial" w:hAnsi="Arial" w:cs="Arial"/>
          <w:b/>
          <w:color w:val="000000"/>
          <w:sz w:val="24"/>
          <w:szCs w:val="24"/>
          <w:lang w:val="en-US"/>
        </w:rPr>
        <w:t>I</w:t>
      </w:r>
      <w:r w:rsidRPr="00977A03">
        <w:rPr>
          <w:rFonts w:ascii="Arial" w:hAnsi="Arial" w:cs="Arial"/>
          <w:b/>
          <w:color w:val="000000"/>
          <w:sz w:val="24"/>
          <w:szCs w:val="24"/>
        </w:rPr>
        <w:t xml:space="preserve">. </w:t>
      </w:r>
      <w:r w:rsidR="0063133E" w:rsidRPr="0063133E">
        <w:rPr>
          <w:rFonts w:ascii="Arial" w:hAnsi="Arial" w:cs="Arial"/>
          <w:b/>
          <w:color w:val="000000"/>
          <w:sz w:val="24"/>
          <w:szCs w:val="24"/>
        </w:rPr>
        <w:t>Практикум по применению международных стандартов аудита: последние изменения и актуальные вопросы</w:t>
      </w:r>
    </w:p>
    <w:p w:rsidR="00A26CF4" w:rsidRPr="00977A03" w:rsidRDefault="00A26CF4" w:rsidP="00A26CF4">
      <w:pPr>
        <w:overflowPunct w:val="0"/>
        <w:autoSpaceDE w:val="0"/>
        <w:autoSpaceDN w:val="0"/>
        <w:adjustRightInd w:val="0"/>
        <w:jc w:val="center"/>
        <w:textAlignment w:val="baseline"/>
        <w:rPr>
          <w:rFonts w:ascii="Arial" w:hAnsi="Arial" w:cs="Arial"/>
          <w:b/>
          <w:color w:val="000000"/>
          <w:sz w:val="24"/>
          <w:szCs w:val="24"/>
        </w:rPr>
      </w:pPr>
    </w:p>
    <w:p w:rsidR="00977A03" w:rsidRPr="00977A03" w:rsidRDefault="00977A03" w:rsidP="00A26CF4">
      <w:pPr>
        <w:overflowPunct w:val="0"/>
        <w:autoSpaceDE w:val="0"/>
        <w:autoSpaceDN w:val="0"/>
        <w:adjustRightInd w:val="0"/>
        <w:jc w:val="center"/>
        <w:textAlignment w:val="baseline"/>
        <w:rPr>
          <w:rFonts w:ascii="Arial" w:hAnsi="Arial" w:cs="Arial"/>
          <w:b/>
          <w:color w:val="000000"/>
          <w:sz w:val="24"/>
          <w:szCs w:val="24"/>
        </w:rPr>
      </w:pPr>
      <w:r>
        <w:rPr>
          <w:rFonts w:ascii="Arial" w:hAnsi="Arial" w:cs="Arial"/>
          <w:b/>
          <w:color w:val="000000"/>
          <w:sz w:val="24"/>
          <w:szCs w:val="24"/>
          <w:lang w:val="en-US"/>
        </w:rPr>
        <w:t>II</w:t>
      </w:r>
      <w:r w:rsidRPr="00977A03">
        <w:rPr>
          <w:rFonts w:ascii="Arial" w:hAnsi="Arial" w:cs="Arial"/>
          <w:b/>
          <w:color w:val="000000"/>
          <w:sz w:val="24"/>
          <w:szCs w:val="24"/>
        </w:rPr>
        <w:t xml:space="preserve">. </w:t>
      </w:r>
      <w:r w:rsidR="0063133E" w:rsidRPr="0063133E">
        <w:rPr>
          <w:rFonts w:ascii="Arial" w:hAnsi="Arial" w:cs="Arial"/>
          <w:b/>
          <w:color w:val="000000"/>
          <w:sz w:val="24"/>
          <w:szCs w:val="24"/>
        </w:rPr>
        <w:t>Внутренний контроль в аудиторской организации. Внешний контроль качества</w:t>
      </w:r>
    </w:p>
    <w:p w:rsidR="00977A03" w:rsidRPr="0063133E" w:rsidRDefault="00977A03" w:rsidP="00A26CF4">
      <w:pPr>
        <w:overflowPunct w:val="0"/>
        <w:autoSpaceDE w:val="0"/>
        <w:autoSpaceDN w:val="0"/>
        <w:adjustRightInd w:val="0"/>
        <w:jc w:val="center"/>
        <w:textAlignment w:val="baseline"/>
        <w:rPr>
          <w:rFonts w:ascii="Arial" w:hAnsi="Arial" w:cs="Arial"/>
          <w:b/>
          <w:color w:val="000000"/>
          <w:sz w:val="24"/>
          <w:szCs w:val="24"/>
        </w:rPr>
      </w:pPr>
    </w:p>
    <w:p w:rsidR="00977A03" w:rsidRPr="00977A03" w:rsidRDefault="00977A03" w:rsidP="00A26CF4">
      <w:pPr>
        <w:overflowPunct w:val="0"/>
        <w:autoSpaceDE w:val="0"/>
        <w:autoSpaceDN w:val="0"/>
        <w:adjustRightInd w:val="0"/>
        <w:jc w:val="center"/>
        <w:textAlignment w:val="baseline"/>
        <w:rPr>
          <w:rFonts w:ascii="Arial" w:hAnsi="Arial" w:cs="Arial"/>
          <w:b/>
          <w:color w:val="000000"/>
          <w:sz w:val="24"/>
          <w:szCs w:val="24"/>
        </w:rPr>
      </w:pPr>
      <w:r w:rsidRPr="00977A03">
        <w:rPr>
          <w:rFonts w:ascii="Arial" w:hAnsi="Arial" w:cs="Arial"/>
          <w:b/>
          <w:color w:val="000000"/>
          <w:sz w:val="24"/>
          <w:szCs w:val="24"/>
        </w:rPr>
        <w:t>(40 академических часов)</w:t>
      </w:r>
    </w:p>
    <w:p w:rsidR="00977A03" w:rsidRPr="0063133E" w:rsidRDefault="00977A03" w:rsidP="00A26CF4">
      <w:pPr>
        <w:overflowPunct w:val="0"/>
        <w:autoSpaceDE w:val="0"/>
        <w:autoSpaceDN w:val="0"/>
        <w:adjustRightInd w:val="0"/>
        <w:jc w:val="center"/>
        <w:textAlignment w:val="baseline"/>
        <w:rPr>
          <w:rFonts w:ascii="Arial" w:hAnsi="Arial" w:cs="Arial"/>
          <w:color w:val="000000"/>
          <w:sz w:val="24"/>
          <w:szCs w:val="24"/>
        </w:rPr>
      </w:pPr>
    </w:p>
    <w:p w:rsidR="00977A03" w:rsidRPr="0063133E" w:rsidRDefault="00977A03" w:rsidP="00A26CF4">
      <w:pPr>
        <w:overflowPunct w:val="0"/>
        <w:autoSpaceDE w:val="0"/>
        <w:autoSpaceDN w:val="0"/>
        <w:adjustRightInd w:val="0"/>
        <w:jc w:val="center"/>
        <w:textAlignment w:val="baseline"/>
        <w:rPr>
          <w:rFonts w:ascii="Arial" w:hAnsi="Arial" w:cs="Arial"/>
          <w:color w:val="000000"/>
          <w:sz w:val="24"/>
          <w:szCs w:val="24"/>
        </w:rPr>
      </w:pPr>
    </w:p>
    <w:p w:rsidR="0063133E" w:rsidRPr="0063133E" w:rsidRDefault="0063133E" w:rsidP="0063133E">
      <w:pPr>
        <w:spacing w:after="140"/>
        <w:jc w:val="center"/>
        <w:rPr>
          <w:rFonts w:ascii="Arial" w:hAnsi="Arial" w:cs="Arial"/>
          <w:color w:val="272727"/>
          <w:sz w:val="24"/>
          <w:szCs w:val="24"/>
        </w:rPr>
      </w:pPr>
      <w:r w:rsidRPr="0063133E">
        <w:rPr>
          <w:rFonts w:ascii="Arial" w:hAnsi="Arial" w:cs="Arial"/>
          <w:b/>
          <w:bCs/>
          <w:color w:val="272727"/>
          <w:sz w:val="24"/>
          <w:szCs w:val="24"/>
        </w:rPr>
        <w:t>«Практикум по применению международных стандартов аудита: последние изменения и актуальные вопросы»</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b/>
          <w:bCs/>
          <w:color w:val="272727"/>
          <w:sz w:val="24"/>
          <w:szCs w:val="24"/>
        </w:rPr>
        <w:t>Продолжительность обучения</w:t>
      </w:r>
      <w:r w:rsidRPr="0063133E">
        <w:rPr>
          <w:rFonts w:ascii="Arial" w:hAnsi="Arial" w:cs="Arial"/>
          <w:color w:val="272727"/>
          <w:sz w:val="24"/>
          <w:szCs w:val="24"/>
        </w:rPr>
        <w:t> – 20 академических часов</w:t>
      </w:r>
      <w:r w:rsidRPr="0063133E">
        <w:rPr>
          <w:rFonts w:ascii="Arial" w:hAnsi="Arial" w:cs="Arial"/>
          <w:color w:val="272727"/>
          <w:sz w:val="24"/>
          <w:szCs w:val="24"/>
        </w:rPr>
        <w:t>.</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br/>
      </w:r>
      <w:r w:rsidRPr="0063133E">
        <w:rPr>
          <w:rFonts w:ascii="Arial" w:hAnsi="Arial" w:cs="Arial"/>
          <w:b/>
          <w:bCs/>
          <w:color w:val="272727"/>
          <w:sz w:val="24"/>
          <w:szCs w:val="24"/>
        </w:rPr>
        <w:t>Цель спецкурса</w:t>
      </w:r>
      <w:r w:rsidRPr="0063133E">
        <w:rPr>
          <w:rFonts w:ascii="Arial" w:hAnsi="Arial" w:cs="Arial"/>
          <w:color w:val="272727"/>
          <w:sz w:val="24"/>
          <w:szCs w:val="24"/>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rsidR="0063133E" w:rsidRPr="0063133E" w:rsidRDefault="0063133E" w:rsidP="0063133E">
      <w:pPr>
        <w:spacing w:after="140"/>
        <w:jc w:val="both"/>
        <w:rPr>
          <w:rFonts w:ascii="Arial" w:hAnsi="Arial" w:cs="Arial"/>
          <w:b/>
          <w:bCs/>
          <w:color w:val="272727"/>
          <w:sz w:val="24"/>
          <w:szCs w:val="24"/>
        </w:rPr>
      </w:pPr>
    </w:p>
    <w:p w:rsid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1. Последние изменения в нормативно-правовом регулировании аудиторской деятельности</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Основные направления развития аудиторской деятельности в Российской Федерации на период до 2024 года</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План пересмотра существующих и разработки новых стандартов аудиторской деятельности.</w:t>
      </w:r>
      <w:r w:rsidRPr="0063133E">
        <w:rPr>
          <w:rFonts w:ascii="Arial" w:hAnsi="Arial" w:cs="Arial"/>
          <w:color w:val="272727"/>
          <w:sz w:val="24"/>
          <w:szCs w:val="24"/>
        </w:rPr>
        <w:br/>
        <w:t>Новая редакция Кодекса профессиональной этики аудиторов и новая редакция Правил независимости аудиторов и аудиторских организаций.</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Разъяснение смысла понятий деловой (профессиональной) репутации в сфере аудиторской деятельности</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Рекомендации аудиторским организациям, индивидуальным аудиторам, аудиторам по проведению аудита годовой бухгалтерской отчетности организаций за 2019 год (основные вопросы)</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2. МСА 315 (пересмотренный) «Выявление и оценка рисков существенного искажения» (утвержден и опубликован в декабре 2019 года)</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Результат, который будет достигнут от введения в действие новой редакции стандарта</w:t>
      </w:r>
      <w:r w:rsidRPr="0063133E">
        <w:rPr>
          <w:rFonts w:ascii="Arial" w:hAnsi="Arial" w:cs="Arial"/>
          <w:color w:val="272727"/>
          <w:sz w:val="24"/>
          <w:szCs w:val="24"/>
        </w:rPr>
        <w:br/>
        <w:t>Наиболее существенные изменения в новой редакции стандарта</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lastRenderedPageBreak/>
        <w:t>Тема 3. Отдельные практические вопросы планирования и сбора доказательств. Практические примеры и рабочие документы аудита</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Практика применения МСА 402: Особенности аудита организации, пользующейся услугами обслуживающей организации</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Практика применения МСА 540: аудиторские процедуры в отношении оценочных значений: пересмотренный стандарт. Примеры рабочей документации.</w:t>
      </w:r>
      <w:r w:rsidRPr="0063133E">
        <w:rPr>
          <w:rFonts w:ascii="Arial" w:hAnsi="Arial" w:cs="Arial"/>
          <w:color w:val="272727"/>
          <w:sz w:val="24"/>
          <w:szCs w:val="24"/>
        </w:rPr>
        <w:br/>
        <w:t>Практика применения МСА 570: Анализ условий и событий, которые могут вызвать сомнения в способности организации непрерывно продолжать свою деятельность – действия аудитора при выявлении таких условий. Примеры анализа условий и событий, когда наличие одного или нескольких из перечисленных признаков не означает, что имеет место существенная неопределенность.</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Практика применения МСА 610: Использование работы службы внутреннего аудита. Привлечение внутренних аудиторов к непосредственному участию в аудите.</w:t>
      </w:r>
    </w:p>
    <w:p w:rsidR="0063133E" w:rsidRP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4. Отдельные практические вопросы завершения аудита</w:t>
      </w: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color w:val="272727"/>
          <w:sz w:val="24"/>
          <w:szCs w:val="24"/>
        </w:rP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63133E">
        <w:rPr>
          <w:rFonts w:ascii="Arial" w:hAnsi="Arial" w:cs="Arial"/>
          <w:color w:val="272727"/>
          <w:sz w:val="24"/>
          <w:szCs w:val="24"/>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4/2019).</w:t>
      </w:r>
      <w:r w:rsidRPr="0063133E">
        <w:rPr>
          <w:rFonts w:ascii="Arial" w:hAnsi="Arial" w:cs="Arial"/>
          <w:color w:val="272727"/>
          <w:sz w:val="24"/>
          <w:szCs w:val="24"/>
        </w:rPr>
        <w:br/>
        <w:t>Практика применения нового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63133E">
        <w:rPr>
          <w:rFonts w:ascii="Arial" w:hAnsi="Arial" w:cs="Arial"/>
          <w:color w:val="272727"/>
          <w:sz w:val="24"/>
          <w:szCs w:val="24"/>
        </w:rPr>
        <w:br/>
        <w:t>Механизм идентификации ключевых вопросов для ОЗХС и прочих компаний, типовые вопросы. Примеры описания, практические рекомендации.</w:t>
      </w:r>
    </w:p>
    <w:p w:rsidR="00977A03" w:rsidRPr="0063133E" w:rsidRDefault="00977A03" w:rsidP="00977A03">
      <w:pPr>
        <w:spacing w:after="140"/>
        <w:jc w:val="both"/>
        <w:rPr>
          <w:rFonts w:ascii="Arial" w:hAnsi="Arial" w:cs="Arial"/>
          <w:color w:val="272727"/>
          <w:sz w:val="24"/>
          <w:szCs w:val="24"/>
        </w:rPr>
      </w:pPr>
      <w:r w:rsidRPr="0063133E">
        <w:rPr>
          <w:rFonts w:ascii="Arial" w:hAnsi="Arial" w:cs="Arial"/>
          <w:color w:val="272727"/>
          <w:sz w:val="24"/>
          <w:szCs w:val="24"/>
        </w:rPr>
        <w:t> </w:t>
      </w:r>
    </w:p>
    <w:p w:rsidR="0063133E" w:rsidRPr="0063133E" w:rsidRDefault="0063133E" w:rsidP="0063133E">
      <w:pPr>
        <w:spacing w:after="140"/>
        <w:jc w:val="center"/>
        <w:rPr>
          <w:rFonts w:ascii="Arial" w:hAnsi="Arial" w:cs="Arial"/>
          <w:color w:val="272727"/>
          <w:sz w:val="24"/>
          <w:szCs w:val="24"/>
        </w:rPr>
      </w:pPr>
      <w:r w:rsidRPr="0063133E">
        <w:rPr>
          <w:rFonts w:ascii="Arial" w:hAnsi="Arial" w:cs="Arial"/>
          <w:b/>
          <w:bCs/>
          <w:color w:val="272727"/>
          <w:sz w:val="24"/>
          <w:szCs w:val="24"/>
        </w:rPr>
        <w:t>«</w:t>
      </w:r>
      <w:bookmarkStart w:id="0" w:name="_Hlk54344674"/>
      <w:r w:rsidRPr="0063133E">
        <w:rPr>
          <w:rFonts w:ascii="Arial" w:hAnsi="Arial" w:cs="Arial"/>
          <w:b/>
          <w:bCs/>
          <w:color w:val="272727"/>
          <w:sz w:val="24"/>
          <w:szCs w:val="24"/>
        </w:rPr>
        <w:t>Внутренний контроль в аудиторской организации. Внешний контроль качества</w:t>
      </w:r>
      <w:bookmarkEnd w:id="0"/>
      <w:r w:rsidRPr="0063133E">
        <w:rPr>
          <w:rFonts w:ascii="Arial" w:hAnsi="Arial" w:cs="Arial"/>
          <w:b/>
          <w:bCs/>
          <w:color w:val="272727"/>
          <w:sz w:val="24"/>
          <w:szCs w:val="24"/>
        </w:rPr>
        <w:t>»</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b/>
          <w:bCs/>
          <w:color w:val="272727"/>
          <w:sz w:val="24"/>
          <w:szCs w:val="24"/>
        </w:rPr>
        <w:t>Продолжительность обучения</w:t>
      </w:r>
      <w:r w:rsidRPr="0063133E">
        <w:rPr>
          <w:rFonts w:ascii="Arial" w:hAnsi="Arial" w:cs="Arial"/>
          <w:color w:val="272727"/>
          <w:sz w:val="24"/>
          <w:szCs w:val="24"/>
        </w:rPr>
        <w:t> – 20 академических часов</w:t>
      </w:r>
      <w:r w:rsidRPr="0063133E">
        <w:rPr>
          <w:rFonts w:ascii="Arial" w:hAnsi="Arial" w:cs="Arial"/>
          <w:color w:val="272727"/>
          <w:sz w:val="24"/>
          <w:szCs w:val="24"/>
        </w:rPr>
        <w:t>.</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br/>
      </w:r>
      <w:r w:rsidRPr="0063133E">
        <w:rPr>
          <w:rFonts w:ascii="Arial" w:hAnsi="Arial" w:cs="Arial"/>
          <w:b/>
          <w:bCs/>
          <w:color w:val="272727"/>
          <w:sz w:val="24"/>
          <w:szCs w:val="24"/>
        </w:rPr>
        <w:t>Цель спецкурса</w:t>
      </w:r>
      <w:r w:rsidRPr="0063133E">
        <w:rPr>
          <w:rFonts w:ascii="Arial" w:hAnsi="Arial" w:cs="Arial"/>
          <w:color w:val="272727"/>
          <w:sz w:val="24"/>
          <w:szCs w:val="24"/>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1. Регулирование организации внутреннего контроля в законодательстве РФ</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2. Международный стандарт контроля качества (МСКК) 1. Общие положения.</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Сфера применения и порядок применения МСКК 1.</w:t>
      </w:r>
      <w:r>
        <w:rPr>
          <w:rFonts w:ascii="Arial" w:hAnsi="Arial" w:cs="Arial"/>
          <w:color w:val="272727"/>
          <w:sz w:val="24"/>
          <w:szCs w:val="24"/>
        </w:rPr>
        <w:t xml:space="preserve"> </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lastRenderedPageBreak/>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Документирование действующей системы внутреннего контроля качества аудиторской организации</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3. Ответственность руководства за качество в аудиторской организации</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Ответственность за оперативное управление системой контроля качества. Требования к лицам, на которых возложена такая ответственность.</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4. Этические требования</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Ротация руководителя аудиторского задания и других ключевых участников группы при длительных взаимоотношениях с аудируемым лицом.</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5. Принятие и продолжение отношений с клиентами, принятие и выполнение конкретных заданий</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6. Кадровые ресурсы</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Назначение аудиторских групп. Возложение ответственности за каждое задание на руководителя задания.</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7. Выполнение задания</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63133E">
        <w:rPr>
          <w:rFonts w:ascii="Arial" w:hAnsi="Arial" w:cs="Arial"/>
          <w:color w:val="272727"/>
          <w:sz w:val="24"/>
          <w:szCs w:val="24"/>
        </w:rPr>
        <w:br/>
        <w:t>Консультации по сложным и спорным вопросам.</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Документирование проверки качества выполнения задания.</w:t>
      </w:r>
      <w:r w:rsidRPr="0063133E">
        <w:rPr>
          <w:rFonts w:ascii="Arial" w:hAnsi="Arial" w:cs="Arial"/>
          <w:color w:val="272727"/>
          <w:sz w:val="24"/>
          <w:szCs w:val="24"/>
        </w:rPr>
        <w:br/>
        <w:t>Расхождения во мнениях.</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8. Мониторинг</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Мониторинг политики и процедур контроля качества аудиторской организации. Оценка выявленных недостатков, сообщение о них и их устранение.</w:t>
      </w:r>
      <w:r w:rsidRPr="0063133E">
        <w:rPr>
          <w:rFonts w:ascii="Arial" w:hAnsi="Arial" w:cs="Arial"/>
          <w:color w:val="272727"/>
          <w:sz w:val="24"/>
          <w:szCs w:val="24"/>
        </w:rPr>
        <w:br/>
        <w:t>Жалобы и заявления.</w:t>
      </w:r>
      <w:r>
        <w:rPr>
          <w:rFonts w:ascii="Arial" w:hAnsi="Arial" w:cs="Arial"/>
          <w:color w:val="272727"/>
          <w:sz w:val="24"/>
          <w:szCs w:val="24"/>
        </w:rPr>
        <w:t xml:space="preserve"> </w:t>
      </w:r>
      <w:r w:rsidRPr="0063133E">
        <w:rPr>
          <w:rFonts w:ascii="Arial" w:hAnsi="Arial" w:cs="Arial"/>
          <w:color w:val="272727"/>
          <w:sz w:val="24"/>
          <w:szCs w:val="24"/>
        </w:rPr>
        <w:t>Документация системы контроля качества.</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9. Особенности организации выполнения аудиторского задания</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63133E">
        <w:rPr>
          <w:rFonts w:ascii="Arial" w:hAnsi="Arial" w:cs="Arial"/>
          <w:color w:val="272727"/>
          <w:sz w:val="24"/>
          <w:szCs w:val="24"/>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63133E">
        <w:rPr>
          <w:rFonts w:ascii="Arial" w:hAnsi="Arial" w:cs="Arial"/>
          <w:color w:val="272727"/>
          <w:sz w:val="24"/>
          <w:szCs w:val="24"/>
        </w:rPr>
        <w:br/>
        <w:t>Документирование процедур контроля качества в ходе проведения аудита.</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10. Эпидемиологическая ситуация и аудиторские процедуры при аудите финансовой отчетности за 2019 и 2020 гг.</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Нормативное регулирование</w:t>
      </w:r>
      <w:r>
        <w:rPr>
          <w:rFonts w:ascii="Arial" w:hAnsi="Arial" w:cs="Arial"/>
          <w:color w:val="272727"/>
          <w:sz w:val="24"/>
          <w:szCs w:val="24"/>
        </w:rPr>
        <w:t xml:space="preserve">. </w:t>
      </w:r>
      <w:r w:rsidRPr="0063133E">
        <w:rPr>
          <w:rFonts w:ascii="Arial" w:hAnsi="Arial" w:cs="Arial"/>
          <w:color w:val="272727"/>
          <w:sz w:val="24"/>
          <w:szCs w:val="24"/>
        </w:rPr>
        <w:t>Процедуры принятия клиента, планирования аудита и оценки рисков существенных искажений;</w:t>
      </w:r>
    </w:p>
    <w:p w:rsidR="0063133E" w:rsidRP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lastRenderedPageBreak/>
        <w:t>Сбор аудиторских доказательств в условиях карантина;</w:t>
      </w:r>
      <w:r>
        <w:rPr>
          <w:rFonts w:ascii="Arial" w:hAnsi="Arial" w:cs="Arial"/>
          <w:color w:val="272727"/>
          <w:sz w:val="24"/>
          <w:szCs w:val="24"/>
        </w:rPr>
        <w:t xml:space="preserve"> </w:t>
      </w:r>
      <w:r w:rsidRPr="0063133E">
        <w:rPr>
          <w:rFonts w:ascii="Arial" w:hAnsi="Arial" w:cs="Arial"/>
          <w:color w:val="272727"/>
          <w:sz w:val="24"/>
          <w:szCs w:val="24"/>
        </w:rPr>
        <w:t>Завершение аудита и формирование мнение о достоверности финансовой отчетности.</w:t>
      </w:r>
    </w:p>
    <w:p w:rsidR="0063133E" w:rsidRDefault="0063133E" w:rsidP="0063133E">
      <w:pPr>
        <w:spacing w:after="140"/>
        <w:jc w:val="both"/>
        <w:rPr>
          <w:rFonts w:ascii="Arial" w:hAnsi="Arial" w:cs="Arial"/>
          <w:b/>
          <w:bCs/>
          <w:color w:val="272727"/>
          <w:sz w:val="24"/>
          <w:szCs w:val="24"/>
        </w:rPr>
      </w:pPr>
    </w:p>
    <w:p w:rsidR="0063133E" w:rsidRPr="0063133E" w:rsidRDefault="0063133E" w:rsidP="0063133E">
      <w:pPr>
        <w:spacing w:after="140"/>
        <w:jc w:val="both"/>
        <w:rPr>
          <w:rFonts w:ascii="Arial" w:hAnsi="Arial" w:cs="Arial"/>
          <w:b/>
          <w:bCs/>
          <w:color w:val="272727"/>
          <w:sz w:val="24"/>
          <w:szCs w:val="24"/>
        </w:rPr>
      </w:pPr>
      <w:r w:rsidRPr="0063133E">
        <w:rPr>
          <w:rFonts w:ascii="Arial" w:hAnsi="Arial" w:cs="Arial"/>
          <w:b/>
          <w:bCs/>
          <w:color w:val="272727"/>
          <w:sz w:val="24"/>
          <w:szCs w:val="24"/>
        </w:rPr>
        <w:t>Тема 11. Внешний контроль качества работы аудиторской организации.</w:t>
      </w:r>
    </w:p>
    <w:p w:rsidR="0063133E" w:rsidRDefault="0063133E" w:rsidP="0063133E">
      <w:pPr>
        <w:spacing w:after="140"/>
        <w:jc w:val="both"/>
        <w:rPr>
          <w:rFonts w:ascii="Arial" w:hAnsi="Arial" w:cs="Arial"/>
          <w:color w:val="272727"/>
          <w:sz w:val="24"/>
          <w:szCs w:val="24"/>
        </w:rPr>
      </w:pPr>
      <w:r w:rsidRPr="0063133E">
        <w:rPr>
          <w:rFonts w:ascii="Arial" w:hAnsi="Arial" w:cs="Arial"/>
          <w:color w:val="272727"/>
          <w:sz w:val="24"/>
          <w:szCs w:val="24"/>
        </w:rPr>
        <w:t>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w:t>
      </w:r>
    </w:p>
    <w:p w:rsidR="0063133E" w:rsidRPr="0063133E" w:rsidRDefault="0063133E" w:rsidP="0063133E">
      <w:pPr>
        <w:spacing w:after="140"/>
        <w:jc w:val="both"/>
        <w:rPr>
          <w:rFonts w:ascii="Arial" w:hAnsi="Arial" w:cs="Arial"/>
          <w:color w:val="272727"/>
          <w:sz w:val="24"/>
          <w:szCs w:val="24"/>
        </w:rPr>
      </w:pPr>
      <w:bookmarkStart w:id="1" w:name="_GoBack"/>
      <w:bookmarkEnd w:id="1"/>
      <w:r w:rsidRPr="0063133E">
        <w:rPr>
          <w:rFonts w:ascii="Arial" w:hAnsi="Arial" w:cs="Arial"/>
          <w:color w:val="272727"/>
          <w:sz w:val="24"/>
          <w:szCs w:val="24"/>
        </w:rPr>
        <w:t>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w:t>
      </w:r>
      <w:r w:rsidRPr="0063133E">
        <w:rPr>
          <w:rFonts w:ascii="Arial" w:hAnsi="Arial" w:cs="Arial"/>
          <w:color w:val="272727"/>
          <w:sz w:val="24"/>
          <w:szCs w:val="24"/>
        </w:rPr>
        <w:br/>
        <w:t>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w:t>
      </w:r>
      <w:r w:rsidRPr="0063133E">
        <w:rPr>
          <w:rFonts w:ascii="Arial" w:hAnsi="Arial" w:cs="Arial"/>
          <w:color w:val="272727"/>
          <w:sz w:val="24"/>
          <w:szCs w:val="24"/>
        </w:rPr>
        <w:br/>
        <w:t>Уклонение от внешнего контроля качества: понятие, признаки, ответственность.</w:t>
      </w:r>
      <w:r w:rsidRPr="0063133E">
        <w:rPr>
          <w:rFonts w:ascii="Arial" w:hAnsi="Arial" w:cs="Arial"/>
          <w:color w:val="272727"/>
          <w:sz w:val="24"/>
          <w:szCs w:val="24"/>
        </w:rPr>
        <w:br/>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rsidR="0063133E" w:rsidRPr="00977A03" w:rsidRDefault="0063133E" w:rsidP="00977A03">
      <w:pPr>
        <w:spacing w:after="140"/>
        <w:jc w:val="both"/>
        <w:rPr>
          <w:rFonts w:ascii="Arial" w:hAnsi="Arial" w:cs="Arial"/>
          <w:color w:val="272727"/>
          <w:sz w:val="22"/>
          <w:szCs w:val="22"/>
        </w:rPr>
      </w:pPr>
    </w:p>
    <w:sectPr w:rsidR="0063133E" w:rsidRPr="00977A03" w:rsidSect="0051100B">
      <w:footerReference w:type="default" r:id="rId8"/>
      <w:pgSz w:w="11906" w:h="16838"/>
      <w:pgMar w:top="284" w:right="707" w:bottom="1134" w:left="1276" w:header="708"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61D" w:rsidRDefault="009B761D" w:rsidP="00A26CF4">
      <w:r>
        <w:separator/>
      </w:r>
    </w:p>
  </w:endnote>
  <w:endnote w:type="continuationSeparator" w:id="0">
    <w:p w:rsidR="009B761D" w:rsidRDefault="009B761D" w:rsidP="00A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F4" w:rsidRDefault="0063133E">
    <w:pPr>
      <w:pStyle w:val="aff1"/>
      <w:rPr>
        <w:color w:val="000000" w:themeColor="text1"/>
        <w:sz w:val="24"/>
        <w:szCs w:val="24"/>
      </w:rPr>
    </w:pPr>
    <w:r>
      <w:rPr>
        <w:noProof/>
        <w:color w:val="000000" w:themeColor="text1"/>
        <w:sz w:val="24"/>
        <w:szCs w:val="24"/>
      </w:rPr>
      <mc:AlternateContent>
        <mc:Choice Requires="wpg">
          <w:drawing>
            <wp:anchor distT="0" distB="0" distL="114300" distR="114300" simplePos="0" relativeHeight="251661312" behindDoc="0" locked="1" layoutInCell="1" allowOverlap="1">
              <wp:simplePos x="0" y="0"/>
              <wp:positionH relativeFrom="column">
                <wp:posOffset>-282575</wp:posOffset>
              </wp:positionH>
              <wp:positionV relativeFrom="paragraph">
                <wp:posOffset>338455</wp:posOffset>
              </wp:positionV>
              <wp:extent cx="6570345" cy="290830"/>
              <wp:effectExtent l="12700" t="14605"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90830"/>
                        <a:chOff x="1418" y="873"/>
                        <a:chExt cx="9720" cy="458"/>
                      </a:xfrm>
                    </wpg:grpSpPr>
                    <wps:wsp>
                      <wps:cNvPr id="3" name="Line 4"/>
                      <wps:cNvCnPr>
                        <a:cxnSpLocks noChangeShapeType="1"/>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CF4" w:rsidRPr="0051100B" w:rsidRDefault="0051100B" w:rsidP="00A26CF4">
                            <w:pPr>
                              <w:tabs>
                                <w:tab w:val="left" w:pos="8364"/>
                              </w:tabs>
                              <w:rPr>
                                <w:rFonts w:ascii="Arial" w:hAnsi="Arial" w:cs="Arial"/>
                                <w:sz w:val="22"/>
                                <w:szCs w:val="22"/>
                              </w:rPr>
                            </w:pPr>
                            <w:r w:rsidRPr="009F5C6E">
                              <w:rPr>
                                <w:rFonts w:ascii="Arial" w:hAnsi="Arial" w:cs="Arial"/>
                                <w:i/>
                                <w:color w:val="000000"/>
                                <w:sz w:val="22"/>
                                <w:szCs w:val="22"/>
                              </w:rPr>
                              <w:t>ЧУ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977A03">
                              <w:rPr>
                                <w:rFonts w:ascii="Arial" w:hAnsi="Arial" w:cs="Arial"/>
                                <w:i/>
                                <w:color w:val="000000"/>
                                <w:sz w:val="22"/>
                                <w:szCs w:val="22"/>
                              </w:rPr>
                              <w:t xml:space="preserve">тел. </w:t>
                            </w:r>
                            <w:r w:rsidR="00977A03" w:rsidRPr="00977A03">
                              <w:rPr>
                                <w:rFonts w:ascii="Arial" w:hAnsi="Arial" w:cs="Arial"/>
                                <w:i/>
                                <w:color w:val="000000"/>
                                <w:sz w:val="22"/>
                                <w:szCs w:val="22"/>
                              </w:rPr>
                              <w:t>8(495)128-44-15</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25pt;margin-top:26.65pt;width:517.35pt;height:22.9pt;z-index:251661312"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">
              <v:line id="Line 4" o:spid="_x0000_s1027"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LqxAAAANoAAAAPAAAAZHJzL2Rvd25yZXYueG1sRI9Pi8Iw&#10;FMTvgt8hPMGbpios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BklcurEAAAA2gAAAA8A&#10;AAAAAAAAAAAAAAAABwIAAGRycy9kb3ducmV2LnhtbFBLBQYAAAAAAwADALcAAAD4AgAAAAA=&#10;" strokeweight="1.75pt"/>
              <v:shapetype id="_x0000_t202" coordsize="21600,21600" o:spt="202" path="m,l,21600r21600,l21600,xe">
                <v:stroke joinstyle="miter"/>
                <v:path gradientshapeok="t" o:connecttype="rect"/>
              </v:shapetype>
              <v:shape id="Text Box 5" o:spid="_x0000_s1028"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26CF4" w:rsidRPr="0051100B" w:rsidRDefault="0051100B" w:rsidP="00A26CF4">
                      <w:pPr>
                        <w:tabs>
                          <w:tab w:val="left" w:pos="8364"/>
                        </w:tabs>
                        <w:rPr>
                          <w:rFonts w:ascii="Arial" w:hAnsi="Arial" w:cs="Arial"/>
                          <w:sz w:val="22"/>
                          <w:szCs w:val="22"/>
                        </w:rPr>
                      </w:pPr>
                      <w:r w:rsidRPr="009F5C6E">
                        <w:rPr>
                          <w:rFonts w:ascii="Arial" w:hAnsi="Arial" w:cs="Arial"/>
                          <w:i/>
                          <w:color w:val="000000"/>
                          <w:sz w:val="22"/>
                          <w:szCs w:val="22"/>
                        </w:rPr>
                        <w:t>ЧУ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977A03">
                        <w:rPr>
                          <w:rFonts w:ascii="Arial" w:hAnsi="Arial" w:cs="Arial"/>
                          <w:i/>
                          <w:color w:val="000000"/>
                          <w:sz w:val="22"/>
                          <w:szCs w:val="22"/>
                        </w:rPr>
                        <w:t xml:space="preserve">тел. </w:t>
                      </w:r>
                      <w:r w:rsidR="00977A03" w:rsidRPr="00977A03">
                        <w:rPr>
                          <w:rFonts w:ascii="Arial" w:hAnsi="Arial" w:cs="Arial"/>
                          <w:i/>
                          <w:color w:val="000000"/>
                          <w:sz w:val="22"/>
                          <w:szCs w:val="22"/>
                        </w:rPr>
                        <w:t>8(495)128-44-15</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v:textbox>
              </v:shape>
              <w10:anchorlock/>
            </v:group>
          </w:pict>
        </mc:Fallback>
      </mc:AlternateContent>
    </w:r>
  </w:p>
  <w:p w:rsidR="00A26CF4" w:rsidRDefault="00A26CF4">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61D" w:rsidRDefault="009B761D" w:rsidP="00A26CF4">
      <w:r>
        <w:separator/>
      </w:r>
    </w:p>
  </w:footnote>
  <w:footnote w:type="continuationSeparator" w:id="0">
    <w:p w:rsidR="009B761D" w:rsidRDefault="009B761D" w:rsidP="00A2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1A4"/>
    <w:multiLevelType w:val="hybridMultilevel"/>
    <w:tmpl w:val="7788F6FE"/>
    <w:lvl w:ilvl="0" w:tplc="87F2C306">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15:restartNumberingAfterBreak="0">
    <w:nsid w:val="5043724E"/>
    <w:multiLevelType w:val="multilevel"/>
    <w:tmpl w:val="E39442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2F5714"/>
    <w:multiLevelType w:val="hybridMultilevel"/>
    <w:tmpl w:val="A606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50549A4"/>
    <w:multiLevelType w:val="hybridMultilevel"/>
    <w:tmpl w:val="AB16D60A"/>
    <w:lvl w:ilvl="0" w:tplc="D6B21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A876CF"/>
    <w:multiLevelType w:val="multilevel"/>
    <w:tmpl w:val="468CBF0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CC"/>
    <w:rsid w:val="00037AD1"/>
    <w:rsid w:val="000E6DA3"/>
    <w:rsid w:val="001354B4"/>
    <w:rsid w:val="00170360"/>
    <w:rsid w:val="001F2B75"/>
    <w:rsid w:val="002510E0"/>
    <w:rsid w:val="00261A23"/>
    <w:rsid w:val="0029279A"/>
    <w:rsid w:val="00396D96"/>
    <w:rsid w:val="0050548E"/>
    <w:rsid w:val="0051100B"/>
    <w:rsid w:val="00545FBC"/>
    <w:rsid w:val="0063133E"/>
    <w:rsid w:val="0068460D"/>
    <w:rsid w:val="00735E73"/>
    <w:rsid w:val="007F49CC"/>
    <w:rsid w:val="008140C1"/>
    <w:rsid w:val="00890A8D"/>
    <w:rsid w:val="008C2CE1"/>
    <w:rsid w:val="00911D63"/>
    <w:rsid w:val="009200C2"/>
    <w:rsid w:val="0092084D"/>
    <w:rsid w:val="00977A03"/>
    <w:rsid w:val="009933CF"/>
    <w:rsid w:val="009A5A97"/>
    <w:rsid w:val="009B761D"/>
    <w:rsid w:val="009F5C6E"/>
    <w:rsid w:val="00A26CF4"/>
    <w:rsid w:val="00A907F4"/>
    <w:rsid w:val="00AA59BE"/>
    <w:rsid w:val="00BF2432"/>
    <w:rsid w:val="00C63FE1"/>
    <w:rsid w:val="00D8544E"/>
    <w:rsid w:val="00EB3006"/>
    <w:rsid w:val="00F638E8"/>
    <w:rsid w:val="00F8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BD08D1"/>
  <w15:docId w15:val="{9D72F8D1-0D9F-4877-B58F-D53C98CE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5122">
      <w:bodyDiv w:val="1"/>
      <w:marLeft w:val="0"/>
      <w:marRight w:val="0"/>
      <w:marTop w:val="0"/>
      <w:marBottom w:val="0"/>
      <w:divBdr>
        <w:top w:val="none" w:sz="0" w:space="0" w:color="auto"/>
        <w:left w:val="none" w:sz="0" w:space="0" w:color="auto"/>
        <w:bottom w:val="none" w:sz="0" w:space="0" w:color="auto"/>
        <w:right w:val="none" w:sz="0" w:space="0" w:color="auto"/>
      </w:divBdr>
    </w:div>
    <w:div w:id="333460329">
      <w:bodyDiv w:val="1"/>
      <w:marLeft w:val="0"/>
      <w:marRight w:val="0"/>
      <w:marTop w:val="0"/>
      <w:marBottom w:val="0"/>
      <w:divBdr>
        <w:top w:val="none" w:sz="0" w:space="0" w:color="auto"/>
        <w:left w:val="none" w:sz="0" w:space="0" w:color="auto"/>
        <w:bottom w:val="none" w:sz="0" w:space="0" w:color="auto"/>
        <w:right w:val="none" w:sz="0" w:space="0" w:color="auto"/>
      </w:divBdr>
    </w:div>
    <w:div w:id="724110273">
      <w:bodyDiv w:val="1"/>
      <w:marLeft w:val="0"/>
      <w:marRight w:val="0"/>
      <w:marTop w:val="0"/>
      <w:marBottom w:val="0"/>
      <w:divBdr>
        <w:top w:val="none" w:sz="0" w:space="0" w:color="auto"/>
        <w:left w:val="none" w:sz="0" w:space="0" w:color="auto"/>
        <w:bottom w:val="none" w:sz="0" w:space="0" w:color="auto"/>
        <w:right w:val="none" w:sz="0" w:space="0" w:color="auto"/>
      </w:divBdr>
    </w:div>
    <w:div w:id="1102724957">
      <w:bodyDiv w:val="1"/>
      <w:marLeft w:val="0"/>
      <w:marRight w:val="0"/>
      <w:marTop w:val="0"/>
      <w:marBottom w:val="0"/>
      <w:divBdr>
        <w:top w:val="none" w:sz="0" w:space="0" w:color="auto"/>
        <w:left w:val="none" w:sz="0" w:space="0" w:color="auto"/>
        <w:bottom w:val="none" w:sz="0" w:space="0" w:color="auto"/>
        <w:right w:val="none" w:sz="0" w:space="0" w:color="auto"/>
      </w:divBdr>
    </w:div>
    <w:div w:id="16546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RufAdr</dc:creator>
  <cp:lastModifiedBy>Елена</cp:lastModifiedBy>
  <cp:revision>2</cp:revision>
  <cp:lastPrinted>2019-12-27T14:40:00Z</cp:lastPrinted>
  <dcterms:created xsi:type="dcterms:W3CDTF">2020-10-23T08:31:00Z</dcterms:created>
  <dcterms:modified xsi:type="dcterms:W3CDTF">2020-10-23T08:31:00Z</dcterms:modified>
</cp:coreProperties>
</file>